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C5FB" w14:textId="69409704" w:rsidR="00524FF8" w:rsidRPr="00596C0F" w:rsidRDefault="002138A1" w:rsidP="007F2D42">
      <w:pPr>
        <w:pStyle w:val="1JudulPenelitian"/>
      </w:pPr>
      <w:r w:rsidRPr="002138A1">
        <w:t>The Implementation of Rally Coach Strategy in Teaching Reading Comprehension: A Quasi Experimental Research</w:t>
      </w:r>
      <w:r w:rsidR="00524FF8" w:rsidRPr="00596C0F">
        <w:t xml:space="preserve"> </w:t>
      </w:r>
    </w:p>
    <w:p w14:paraId="15F81909" w14:textId="1C9262A1" w:rsidR="00524FF8" w:rsidRPr="004E46B0" w:rsidRDefault="002138A1" w:rsidP="007F2D42">
      <w:pPr>
        <w:pStyle w:val="2Penulis"/>
      </w:pPr>
      <w:proofErr w:type="spellStart"/>
      <w:r w:rsidRPr="002138A1">
        <w:t>Syarifah</w:t>
      </w:r>
      <w:proofErr w:type="spellEnd"/>
      <w:r w:rsidRPr="002138A1">
        <w:t xml:space="preserve"> Ulfiah</w:t>
      </w:r>
      <w:r w:rsidRPr="002138A1">
        <w:rPr>
          <w:vertAlign w:val="superscript"/>
        </w:rPr>
        <w:t>1</w:t>
      </w:r>
      <w:r w:rsidRPr="002138A1">
        <w:t>, Samhudi</w:t>
      </w:r>
      <w:r w:rsidR="00780ED5">
        <w:rPr>
          <w:vertAlign w:val="superscript"/>
        </w:rPr>
        <w:t>1</w:t>
      </w:r>
      <w:r w:rsidRPr="002138A1">
        <w:t xml:space="preserve">, </w:t>
      </w:r>
      <w:proofErr w:type="spellStart"/>
      <w:r w:rsidRPr="002138A1">
        <w:t>Fadhlur</w:t>
      </w:r>
      <w:proofErr w:type="spellEnd"/>
      <w:r w:rsidRPr="002138A1">
        <w:t xml:space="preserve"> Rahman</w:t>
      </w:r>
      <w:r w:rsidR="00780ED5">
        <w:rPr>
          <w:vertAlign w:val="superscript"/>
        </w:rPr>
        <w:t>1</w:t>
      </w:r>
    </w:p>
    <w:p w14:paraId="38740587" w14:textId="34F8B3AB" w:rsidR="00524FF8" w:rsidRPr="007F2D42" w:rsidRDefault="002138A1" w:rsidP="007F2D42">
      <w:pPr>
        <w:pStyle w:val="3AfiliasiPenulis"/>
      </w:pPr>
      <w:r w:rsidRPr="002138A1">
        <w:rPr>
          <w:vertAlign w:val="superscript"/>
        </w:rPr>
        <w:t>1</w:t>
      </w:r>
      <w:r w:rsidRPr="002138A1">
        <w:t xml:space="preserve">Instiut Agama Islam Negeri </w:t>
      </w:r>
      <w:proofErr w:type="spellStart"/>
      <w:r w:rsidRPr="002138A1">
        <w:t>Lhokseumawe</w:t>
      </w:r>
      <w:proofErr w:type="spellEnd"/>
    </w:p>
    <w:p w14:paraId="5604DEC3" w14:textId="1F3EE836" w:rsidR="00524FF8" w:rsidRPr="002138A1" w:rsidRDefault="00524FF8" w:rsidP="002138A1">
      <w:pPr>
        <w:pStyle w:val="4EmailPenulis"/>
        <w:rPr>
          <w:rStyle w:val="Hyperlink"/>
          <w:color w:val="000000" w:themeColor="text1"/>
          <w:u w:val="none"/>
        </w:rPr>
      </w:pPr>
      <w:r w:rsidRPr="009B31ED">
        <w:t>Correspond</w:t>
      </w:r>
      <w:r w:rsidR="003F6887" w:rsidRPr="009B31ED">
        <w:t>ing Author:</w:t>
      </w:r>
      <w:r w:rsidR="00BD1CF9" w:rsidRPr="009B31ED">
        <w:t xml:space="preserve"> </w:t>
      </w:r>
      <w:r w:rsidR="002138A1" w:rsidRPr="002138A1">
        <w:rPr>
          <w:color w:val="0563C1" w:themeColor="hyperlink"/>
          <w:u w:val="single"/>
          <w:lang w:val="en-ID"/>
        </w:rPr>
        <w:t>fadhlur.rahman@iainlhokseumawe.ac.id</w:t>
      </w:r>
    </w:p>
    <w:tbl>
      <w:tblPr>
        <w:tblStyle w:val="TableGrid"/>
        <w:tblW w:w="9077" w:type="dxa"/>
        <w:tblInd w:w="-5" w:type="dxa"/>
        <w:tblBorders>
          <w:top w:val="single" w:sz="8" w:space="0" w:color="00237E"/>
          <w:left w:val="none" w:sz="0" w:space="0" w:color="auto"/>
          <w:bottom w:val="single" w:sz="2" w:space="0" w:color="000000" w:themeColor="text1"/>
          <w:right w:val="none" w:sz="0" w:space="0" w:color="auto"/>
          <w:insideH w:val="single" w:sz="8" w:space="0" w:color="00237E"/>
          <w:insideV w:val="none" w:sz="0" w:space="0" w:color="auto"/>
        </w:tblBorders>
        <w:tblLook w:val="04A0" w:firstRow="1" w:lastRow="0" w:firstColumn="1" w:lastColumn="0" w:noHBand="0" w:noVBand="1"/>
      </w:tblPr>
      <w:tblGrid>
        <w:gridCol w:w="2415"/>
        <w:gridCol w:w="6662"/>
      </w:tblGrid>
      <w:tr w:rsidR="00062928" w:rsidRPr="00CA4607" w14:paraId="304BE111" w14:textId="77777777" w:rsidTr="004A6EA7">
        <w:trPr>
          <w:trHeight w:val="765"/>
        </w:trPr>
        <w:tc>
          <w:tcPr>
            <w:tcW w:w="2415" w:type="dxa"/>
            <w:tcBorders>
              <w:top w:val="single" w:sz="4" w:space="0" w:color="002060"/>
              <w:bottom w:val="nil"/>
            </w:tcBorders>
          </w:tcPr>
          <w:p w14:paraId="192B0174" w14:textId="49E7710D" w:rsidR="00062928" w:rsidRPr="00062928" w:rsidRDefault="00062928" w:rsidP="00E73401">
            <w:pPr>
              <w:spacing w:before="40"/>
              <w:ind w:right="34"/>
              <w:jc w:val="both"/>
              <w:rPr>
                <w:rFonts w:ascii="Cambria" w:hAnsi="Cambria"/>
                <w:b/>
                <w:bCs/>
                <w:color w:val="002060"/>
                <w:sz w:val="20"/>
                <w:szCs w:val="20"/>
              </w:rPr>
            </w:pPr>
            <w:r w:rsidRPr="00062928">
              <w:rPr>
                <w:rFonts w:ascii="Cambria" w:hAnsi="Cambria"/>
                <w:b/>
                <w:bCs/>
                <w:color w:val="002060"/>
                <w:sz w:val="20"/>
                <w:szCs w:val="20"/>
              </w:rPr>
              <w:t>Article History</w:t>
            </w:r>
            <w:r>
              <w:rPr>
                <w:rFonts w:ascii="Cambria" w:hAnsi="Cambria"/>
                <w:b/>
                <w:bCs/>
                <w:color w:val="002060"/>
                <w:sz w:val="20"/>
                <w:szCs w:val="20"/>
              </w:rPr>
              <w:t>:</w:t>
            </w:r>
          </w:p>
          <w:p w14:paraId="21E38D38" w14:textId="3715D70B" w:rsidR="00062928" w:rsidRPr="00062928" w:rsidRDefault="002138A1" w:rsidP="00E73401">
            <w:pPr>
              <w:spacing w:before="40"/>
              <w:ind w:right="34"/>
              <w:jc w:val="both"/>
              <w:rPr>
                <w:rFonts w:ascii="Cambria" w:hAnsi="Cambria"/>
                <w:color w:val="auto"/>
                <w:sz w:val="20"/>
                <w:szCs w:val="20"/>
              </w:rPr>
            </w:pPr>
            <w:r>
              <w:rPr>
                <w:rFonts w:ascii="Cambria" w:hAnsi="Cambria"/>
                <w:color w:val="auto"/>
                <w:sz w:val="20"/>
                <w:szCs w:val="20"/>
              </w:rPr>
              <w:t xml:space="preserve">Submitted: </w:t>
            </w:r>
            <w:r w:rsidR="009464CF">
              <w:rPr>
                <w:rFonts w:ascii="Cambria" w:hAnsi="Cambria"/>
                <w:color w:val="auto"/>
                <w:sz w:val="20"/>
                <w:szCs w:val="20"/>
              </w:rPr>
              <w:t>21</w:t>
            </w:r>
            <w:r>
              <w:rPr>
                <w:rFonts w:ascii="Cambria" w:hAnsi="Cambria"/>
                <w:color w:val="auto"/>
                <w:sz w:val="20"/>
                <w:szCs w:val="20"/>
              </w:rPr>
              <w:t>/0</w:t>
            </w:r>
            <w:r w:rsidR="009464CF">
              <w:rPr>
                <w:rFonts w:ascii="Cambria" w:hAnsi="Cambria"/>
                <w:color w:val="auto"/>
                <w:sz w:val="20"/>
                <w:szCs w:val="20"/>
              </w:rPr>
              <w:t>8</w:t>
            </w:r>
            <w:r>
              <w:rPr>
                <w:rFonts w:ascii="Cambria" w:hAnsi="Cambria"/>
                <w:color w:val="auto"/>
                <w:sz w:val="20"/>
                <w:szCs w:val="20"/>
              </w:rPr>
              <w:t>/2023</w:t>
            </w:r>
          </w:p>
          <w:p w14:paraId="31AD5B29" w14:textId="3BE4BFAF" w:rsidR="00062928" w:rsidRPr="00062928" w:rsidRDefault="002138A1" w:rsidP="00E73401">
            <w:pPr>
              <w:ind w:right="36" w:hanging="1"/>
              <w:jc w:val="both"/>
              <w:rPr>
                <w:rFonts w:ascii="Cambria" w:hAnsi="Cambria"/>
                <w:color w:val="auto"/>
                <w:sz w:val="20"/>
                <w:szCs w:val="20"/>
              </w:rPr>
            </w:pPr>
            <w:r>
              <w:rPr>
                <w:rFonts w:ascii="Cambria" w:hAnsi="Cambria"/>
                <w:color w:val="auto"/>
                <w:sz w:val="20"/>
                <w:szCs w:val="20"/>
              </w:rPr>
              <w:t xml:space="preserve">Revised: </w:t>
            </w:r>
            <w:r w:rsidR="009464CF">
              <w:rPr>
                <w:rFonts w:ascii="Cambria" w:hAnsi="Cambria"/>
                <w:color w:val="auto"/>
                <w:sz w:val="20"/>
                <w:szCs w:val="20"/>
              </w:rPr>
              <w:t>09</w:t>
            </w:r>
            <w:r>
              <w:rPr>
                <w:rFonts w:ascii="Cambria" w:hAnsi="Cambria"/>
                <w:color w:val="auto"/>
                <w:sz w:val="20"/>
                <w:szCs w:val="20"/>
              </w:rPr>
              <w:t>/0</w:t>
            </w:r>
            <w:r w:rsidR="009464CF">
              <w:rPr>
                <w:rFonts w:ascii="Cambria" w:hAnsi="Cambria"/>
                <w:color w:val="auto"/>
                <w:sz w:val="20"/>
                <w:szCs w:val="20"/>
              </w:rPr>
              <w:t>3</w:t>
            </w:r>
            <w:r>
              <w:rPr>
                <w:rFonts w:ascii="Cambria" w:hAnsi="Cambria"/>
                <w:color w:val="auto"/>
                <w:sz w:val="20"/>
                <w:szCs w:val="20"/>
              </w:rPr>
              <w:t>/2024</w:t>
            </w:r>
          </w:p>
          <w:p w14:paraId="628F081D" w14:textId="4C6E9563" w:rsidR="00062928" w:rsidRPr="00062928" w:rsidRDefault="002138A1" w:rsidP="00E73401">
            <w:pPr>
              <w:ind w:right="36" w:hanging="1"/>
              <w:jc w:val="both"/>
              <w:rPr>
                <w:rFonts w:ascii="Cambria" w:hAnsi="Cambria"/>
                <w:color w:val="auto"/>
                <w:sz w:val="20"/>
                <w:szCs w:val="20"/>
              </w:rPr>
            </w:pPr>
            <w:r>
              <w:rPr>
                <w:rFonts w:ascii="Cambria" w:hAnsi="Cambria"/>
                <w:color w:val="auto"/>
                <w:sz w:val="20"/>
                <w:szCs w:val="20"/>
              </w:rPr>
              <w:t xml:space="preserve">Accepted: </w:t>
            </w:r>
            <w:r w:rsidR="009464CF">
              <w:rPr>
                <w:rFonts w:ascii="Cambria" w:hAnsi="Cambria"/>
                <w:color w:val="auto"/>
                <w:sz w:val="20"/>
                <w:szCs w:val="20"/>
              </w:rPr>
              <w:t>15</w:t>
            </w:r>
            <w:r>
              <w:rPr>
                <w:rFonts w:ascii="Cambria" w:hAnsi="Cambria"/>
                <w:color w:val="auto"/>
                <w:sz w:val="20"/>
                <w:szCs w:val="20"/>
              </w:rPr>
              <w:t>/0</w:t>
            </w:r>
            <w:r w:rsidR="009464CF">
              <w:rPr>
                <w:rFonts w:ascii="Cambria" w:hAnsi="Cambria"/>
                <w:color w:val="auto"/>
                <w:sz w:val="20"/>
                <w:szCs w:val="20"/>
              </w:rPr>
              <w:t>5</w:t>
            </w:r>
            <w:r>
              <w:rPr>
                <w:rFonts w:ascii="Cambria" w:hAnsi="Cambria"/>
                <w:color w:val="auto"/>
                <w:sz w:val="20"/>
                <w:szCs w:val="20"/>
              </w:rPr>
              <w:t>/2024</w:t>
            </w:r>
          </w:p>
          <w:p w14:paraId="243720AC" w14:textId="77777777" w:rsidR="00062928" w:rsidRPr="00062928" w:rsidRDefault="00062928" w:rsidP="00E73401">
            <w:pPr>
              <w:ind w:right="36"/>
              <w:jc w:val="both"/>
              <w:rPr>
                <w:rFonts w:ascii="Cambria" w:hAnsi="Cambria"/>
                <w:color w:val="auto"/>
                <w:sz w:val="20"/>
                <w:szCs w:val="20"/>
              </w:rPr>
            </w:pPr>
          </w:p>
        </w:tc>
        <w:tc>
          <w:tcPr>
            <w:tcW w:w="6662" w:type="dxa"/>
            <w:vMerge w:val="restart"/>
            <w:tcBorders>
              <w:top w:val="single" w:sz="4" w:space="0" w:color="002060"/>
            </w:tcBorders>
          </w:tcPr>
          <w:p w14:paraId="71ED1BAE" w14:textId="165ED528" w:rsidR="00062928" w:rsidRPr="00192A6A" w:rsidRDefault="00062928" w:rsidP="009B0E37">
            <w:pPr>
              <w:pStyle w:val="41Abstrak"/>
            </w:pPr>
            <w:r w:rsidRPr="00A628C3">
              <w:rPr>
                <w:b/>
                <w:bCs/>
                <w:color w:val="002060"/>
              </w:rPr>
              <w:t>Abstract.</w:t>
            </w:r>
            <w:r w:rsidRPr="00CA4607">
              <w:rPr>
                <w:b/>
                <w:bCs/>
              </w:rPr>
              <w:t xml:space="preserve"> </w:t>
            </w:r>
            <w:r w:rsidR="007F2D42" w:rsidRPr="007F2D42">
              <w:rPr>
                <w:bCs/>
                <w:lang w:val="en-US"/>
              </w:rPr>
              <w:t>Students</w:t>
            </w:r>
            <w:r w:rsidR="00DE6562">
              <w:rPr>
                <w:bCs/>
                <w:lang w:val="en-US"/>
              </w:rPr>
              <w:t>’</w:t>
            </w:r>
            <w:r w:rsidR="007F2D42" w:rsidRPr="007F2D42">
              <w:rPr>
                <w:bCs/>
                <w:lang w:val="en-US"/>
              </w:rPr>
              <w:t xml:space="preserve"> comprehension of narrative texts was hampered in the chosen educational setting, necessitating the implementation of effective interventions. The Rally Coach strategy, an emerging approach, is based on the notion that collaborative learning boosts student performance. Th</w:t>
            </w:r>
            <w:r w:rsidR="00DE6562">
              <w:rPr>
                <w:bCs/>
                <w:lang w:val="en-US"/>
              </w:rPr>
              <w:t>is study aim</w:t>
            </w:r>
            <w:r w:rsidR="007F2D42" w:rsidRPr="007F2D42">
              <w:rPr>
                <w:bCs/>
                <w:lang w:val="en-US"/>
              </w:rPr>
              <w:t>s to determine if there is a significant difference in reading comprehension achievement between students taught using the Rally Coach Strategy and those taught using traditional methods. A quasi-experimental research design was employed</w:t>
            </w:r>
            <w:r w:rsidR="00DE6562">
              <w:rPr>
                <w:bCs/>
                <w:lang w:val="en-US"/>
              </w:rPr>
              <w:t xml:space="preserve"> to assess</w:t>
            </w:r>
            <w:r w:rsidR="007F2D42" w:rsidRPr="007F2D42">
              <w:rPr>
                <w:bCs/>
                <w:lang w:val="en-US"/>
              </w:rPr>
              <w:t xml:space="preserve"> the efficacy of Spencer Kagan's Rally Coach Strategy in improving students' reading comprehension skills. The study's t-test results showed a significant improvement in reading comprehension, with a value of 6.039 exceeding the t-table result of 2.048, indicating a s</w:t>
            </w:r>
            <w:r w:rsidR="00DE6562">
              <w:rPr>
                <w:bCs/>
                <w:lang w:val="en-US"/>
              </w:rPr>
              <w:t>ubstantial</w:t>
            </w:r>
            <w:r w:rsidR="007F2D42" w:rsidRPr="007F2D42">
              <w:rPr>
                <w:bCs/>
                <w:lang w:val="en-US"/>
              </w:rPr>
              <w:t xml:space="preserve"> improvement in reading comprehension achievement. These findings support the alternative hypothesis, implying that implementing the Rally Coach Method in the experimental classroom would </w:t>
            </w:r>
            <w:r w:rsidR="00DE6562">
              <w:rPr>
                <w:bCs/>
                <w:lang w:val="en-US"/>
              </w:rPr>
              <w:t>significantly improve</w:t>
            </w:r>
            <w:r w:rsidR="007F2D42" w:rsidRPr="007F2D42">
              <w:rPr>
                <w:bCs/>
                <w:lang w:val="en-US"/>
              </w:rPr>
              <w:t xml:space="preserve"> the quality of reading comprehension instruction. Overall, this study adds valuable empirical evidence to support the Rally Coach strategy's effectiveness </w:t>
            </w:r>
            <w:r w:rsidR="00DE6562">
              <w:rPr>
                <w:bCs/>
                <w:lang w:val="en-US"/>
              </w:rPr>
              <w:t>in</w:t>
            </w:r>
            <w:r w:rsidR="007F2D42" w:rsidRPr="007F2D42">
              <w:rPr>
                <w:bCs/>
                <w:lang w:val="en-US"/>
              </w:rPr>
              <w:t xml:space="preserve"> improving students' reading comprehension skills. This study addresses a critical educational concern by identifying a successful intervention to address low reading comprehension achievement and emphasizes the importance of cooperative learning strategies, such as the Rally Coach Strategy, in improving students' overall reading comprehension abilities.</w:t>
            </w:r>
            <w:r w:rsidR="007F2D42">
              <w:rPr>
                <w:bCs/>
                <w:lang w:val="en-US"/>
              </w:rPr>
              <w:t xml:space="preserve"> </w:t>
            </w:r>
          </w:p>
        </w:tc>
      </w:tr>
      <w:tr w:rsidR="00062928" w:rsidRPr="00CA4607" w14:paraId="649D9C61" w14:textId="77777777" w:rsidTr="004A6EA7">
        <w:trPr>
          <w:trHeight w:val="764"/>
        </w:trPr>
        <w:tc>
          <w:tcPr>
            <w:tcW w:w="2415" w:type="dxa"/>
            <w:tcBorders>
              <w:top w:val="nil"/>
              <w:bottom w:val="single" w:sz="8" w:space="0" w:color="00237E"/>
            </w:tcBorders>
          </w:tcPr>
          <w:p w14:paraId="42EE455A" w14:textId="77777777" w:rsidR="00062928" w:rsidRDefault="00062928" w:rsidP="00062928">
            <w:pPr>
              <w:spacing w:before="40"/>
              <w:ind w:right="34"/>
              <w:rPr>
                <w:rFonts w:ascii="Cambria" w:hAnsi="Cambria"/>
                <w:b/>
                <w:bCs/>
                <w:sz w:val="20"/>
                <w:szCs w:val="20"/>
              </w:rPr>
            </w:pPr>
            <w:r w:rsidRPr="00062928">
              <w:rPr>
                <w:rFonts w:ascii="Cambria" w:hAnsi="Cambria"/>
                <w:b/>
                <w:bCs/>
                <w:color w:val="002060"/>
                <w:sz w:val="20"/>
                <w:szCs w:val="20"/>
              </w:rPr>
              <w:t>Keywords:</w:t>
            </w:r>
            <w:r w:rsidRPr="00062928">
              <w:rPr>
                <w:rFonts w:ascii="Cambria" w:hAnsi="Cambria"/>
                <w:b/>
                <w:bCs/>
                <w:sz w:val="20"/>
                <w:szCs w:val="20"/>
              </w:rPr>
              <w:t xml:space="preserve"> </w:t>
            </w:r>
          </w:p>
          <w:p w14:paraId="336C805D" w14:textId="4ADE77BD" w:rsidR="00062928" w:rsidRPr="007F2D42" w:rsidRDefault="007F2D42" w:rsidP="007F2D42">
            <w:pPr>
              <w:pStyle w:val="5Keyword"/>
            </w:pPr>
            <w:r w:rsidRPr="007F2D42">
              <w:t>Implementation; Rally Coach; Teaching; Reading; A Quasi.</w:t>
            </w:r>
          </w:p>
        </w:tc>
        <w:tc>
          <w:tcPr>
            <w:tcW w:w="6662" w:type="dxa"/>
            <w:vMerge/>
          </w:tcPr>
          <w:p w14:paraId="6485305F" w14:textId="77777777" w:rsidR="00062928" w:rsidRPr="00A628C3" w:rsidRDefault="00062928" w:rsidP="00E73401">
            <w:pPr>
              <w:spacing w:before="40" w:after="120"/>
              <w:ind w:firstLine="6"/>
              <w:jc w:val="both"/>
              <w:rPr>
                <w:rFonts w:ascii="Cambria" w:hAnsi="Cambria"/>
                <w:b/>
                <w:bCs/>
                <w:color w:val="002060"/>
                <w:sz w:val="20"/>
                <w:szCs w:val="20"/>
              </w:rPr>
            </w:pPr>
          </w:p>
        </w:tc>
      </w:tr>
      <w:tr w:rsidR="00271713" w:rsidRPr="00CA4607" w14:paraId="0B5E8C32" w14:textId="77777777" w:rsidTr="00C06AA4">
        <w:trPr>
          <w:trHeight w:val="737"/>
        </w:trPr>
        <w:tc>
          <w:tcPr>
            <w:tcW w:w="9077" w:type="dxa"/>
            <w:gridSpan w:val="2"/>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149DF8CD" w14:textId="28AEC18D" w:rsidR="00271713" w:rsidRPr="00A43A30" w:rsidRDefault="00271713" w:rsidP="00E73401">
            <w:pPr>
              <w:pStyle w:val="96PenulisanSitasiPenelitianini"/>
            </w:pPr>
            <w:r w:rsidRPr="00A43A30">
              <w:rPr>
                <w:b/>
                <w:bCs/>
                <w:color w:val="002060"/>
              </w:rPr>
              <w:t>Citation</w:t>
            </w:r>
            <w:r w:rsidR="00B0440B" w:rsidRPr="00A43A30">
              <w:rPr>
                <w:b/>
                <w:bCs/>
                <w:color w:val="002060"/>
              </w:rPr>
              <w:t>:</w:t>
            </w:r>
            <w:r w:rsidRPr="00A43A30">
              <w:rPr>
                <w:b/>
                <w:bCs/>
              </w:rPr>
              <w:t xml:space="preserve"> </w:t>
            </w:r>
            <w:proofErr w:type="spellStart"/>
            <w:r w:rsidR="007F2D42">
              <w:t>Ulfiah</w:t>
            </w:r>
            <w:proofErr w:type="spellEnd"/>
            <w:r w:rsidR="007F2D42">
              <w:t xml:space="preserve">, S., </w:t>
            </w:r>
            <w:proofErr w:type="spellStart"/>
            <w:r w:rsidR="007F2D42">
              <w:t>Samhudi</w:t>
            </w:r>
            <w:proofErr w:type="spellEnd"/>
            <w:r w:rsidR="007F2D42">
              <w:t>, &amp; Rahman, F.</w:t>
            </w:r>
            <w:r w:rsidRPr="00A43A30">
              <w:t xml:space="preserve"> (2023). </w:t>
            </w:r>
            <w:r w:rsidR="002138A1" w:rsidRPr="007F2D42">
              <w:t>The Implementation of Rally Coach Strategy in Teaching Reading Comprehension: A Quasi Experimental Research</w:t>
            </w:r>
            <w:r w:rsidRPr="00A43A30">
              <w:t xml:space="preserve">. </w:t>
            </w:r>
            <w:r w:rsidRPr="00A43A30">
              <w:rPr>
                <w:i/>
                <w:iCs/>
              </w:rPr>
              <w:t>Journal of English Language and Pedagogy (JELPA),</w:t>
            </w:r>
            <w:r w:rsidRPr="00A43A30">
              <w:t xml:space="preserve"> </w:t>
            </w:r>
            <w:r w:rsidR="003A1275">
              <w:t>2(1</w:t>
            </w:r>
            <w:r w:rsidRPr="00A43A30">
              <w:t xml:space="preserve">), </w:t>
            </w:r>
            <w:r w:rsidR="00E73401">
              <w:t>1</w:t>
            </w:r>
            <w:r w:rsidR="00A20B55">
              <w:t>2</w:t>
            </w:r>
            <w:r w:rsidR="00E73401">
              <w:t>-</w:t>
            </w:r>
            <w:r w:rsidR="00A20B55">
              <w:t>2</w:t>
            </w:r>
            <w:r w:rsidR="00C03B0B">
              <w:t>3</w:t>
            </w:r>
            <w:r w:rsidRPr="00A43A30">
              <w:t>.</w:t>
            </w:r>
            <w:r w:rsidR="00DA7073" w:rsidRPr="00A43A30">
              <w:t xml:space="preserve"> </w:t>
            </w:r>
            <w:r w:rsidR="00DA7073" w:rsidRPr="00A43A30">
              <w:rPr>
                <w:noProof/>
              </w:rPr>
              <w:t>https://doi.org/</w:t>
            </w:r>
            <w:r w:rsidR="006C51D7" w:rsidRPr="00A43A30">
              <w:rPr>
                <w:noProof/>
              </w:rPr>
              <w:t>10.51826/jelpa.v</w:t>
            </w:r>
            <w:r w:rsidR="003A1275">
              <w:rPr>
                <w:noProof/>
              </w:rPr>
              <w:t>2i1</w:t>
            </w:r>
            <w:r w:rsidR="006C51D7" w:rsidRPr="00A43A30">
              <w:rPr>
                <w:noProof/>
              </w:rPr>
              <w:t>.</w:t>
            </w:r>
            <w:r w:rsidR="003A1275">
              <w:rPr>
                <w:noProof/>
              </w:rPr>
              <w:t>805</w:t>
            </w:r>
          </w:p>
        </w:tc>
      </w:tr>
    </w:tbl>
    <w:p w14:paraId="7EE2B745" w14:textId="64CFF703" w:rsidR="008014B7" w:rsidRPr="00056BA9" w:rsidRDefault="0053479D" w:rsidP="00DB420C">
      <w:pPr>
        <w:pStyle w:val="6BABArtikel"/>
      </w:pPr>
      <w:r w:rsidRPr="00056BA9">
        <w:t>INTRODUCTION</w:t>
      </w:r>
    </w:p>
    <w:p w14:paraId="5E9845FC" w14:textId="654A6421" w:rsidR="000A5CD6" w:rsidRPr="000A5CD6" w:rsidRDefault="000A5CD6" w:rsidP="000A5CD6">
      <w:pPr>
        <w:pStyle w:val="91ParagrafPertama"/>
      </w:pPr>
      <w:r w:rsidRPr="000A5CD6">
        <w:t>Due to the crucial role that reading comprehension skills play in academic success and overall learning development, the issue of low reading comprehension achievement among secondary school students has sparked significant concern among educators and practitioners (</w:t>
      </w:r>
      <w:proofErr w:type="spellStart"/>
      <w:r w:rsidRPr="000A5CD6">
        <w:t>Raudszu</w:t>
      </w:r>
      <w:proofErr w:type="spellEnd"/>
      <w:r w:rsidRPr="000A5CD6">
        <w:t xml:space="preserve"> et al., 2021; </w:t>
      </w:r>
      <w:proofErr w:type="spellStart"/>
      <w:r w:rsidRPr="000A5CD6">
        <w:t>Silalahi</w:t>
      </w:r>
      <w:proofErr w:type="spellEnd"/>
      <w:r w:rsidRPr="000A5CD6">
        <w:t xml:space="preserve"> et al., 2022; Cain, 2022). As educators and practitioners observed the difficulties students encountered in comprehending narrative material, it became clear that proficient reading comprehension is n</w:t>
      </w:r>
      <w:r w:rsidR="00DE6562">
        <w:t>ecessary for excelling in language arts and</w:t>
      </w:r>
      <w:r w:rsidRPr="000A5CD6">
        <w:t xml:space="preserve"> has a significant impact on other curriculum areas. The ability to comprehend and analyse academic texts effectively is essential in </w:t>
      </w:r>
      <w:r w:rsidR="00DE6562">
        <w:t>various disciplines, and students' difficulties in this area can hinder their overall academic performance and</w:t>
      </w:r>
      <w:r w:rsidRPr="000A5CD6">
        <w:t xml:space="preserve"> capacity to engage critically with the subject matter.</w:t>
      </w:r>
    </w:p>
    <w:p w14:paraId="2B154018" w14:textId="7F6E1C47" w:rsidR="000A5CD6" w:rsidRPr="000A5CD6" w:rsidRDefault="000A5CD6" w:rsidP="00DF62CA">
      <w:pPr>
        <w:pStyle w:val="92ParagrafKedua"/>
      </w:pPr>
      <w:r w:rsidRPr="000A5CD6">
        <w:t xml:space="preserve">Concern about low reading comprehension achievement in the chosen academic setting likely prompted educators to consider the potential causes of this problem. They may have recognized that the inability of students to comprehend narrative material could be attributed to a variety of factors, such as insufficient reading strategies, limited exposure to diverse reading </w:t>
      </w:r>
      <w:r w:rsidRPr="000A5CD6">
        <w:lastRenderedPageBreak/>
        <w:t xml:space="preserve">materials, or language proficiency issues (Cain, 2022; </w:t>
      </w:r>
      <w:proofErr w:type="spellStart"/>
      <w:r w:rsidRPr="000A5CD6">
        <w:t>Fatahillah</w:t>
      </w:r>
      <w:proofErr w:type="spellEnd"/>
      <w:r w:rsidRPr="000A5CD6">
        <w:t xml:space="preserve"> et al., 2023). In addition, educators may have observed that students' poor comprehension skills </w:t>
      </w:r>
      <w:r w:rsidR="00DE6562">
        <w:t>affected their academic performance and</w:t>
      </w:r>
      <w:r w:rsidRPr="000A5CD6">
        <w:t xml:space="preserve"> had far-reaching implications for their future academic and professional endeavours (</w:t>
      </w:r>
      <w:proofErr w:type="spellStart"/>
      <w:r w:rsidRPr="000A5CD6">
        <w:t>Okkinga</w:t>
      </w:r>
      <w:proofErr w:type="spellEnd"/>
      <w:r w:rsidRPr="000A5CD6">
        <w:t xml:space="preserve"> et al., 2022). A</w:t>
      </w:r>
      <w:r w:rsidR="00DE6562">
        <w:t>ddressing this issue became imperative as a direct impact on students' abilities to access and comprehend complex information, conduct research, and develop critical thinking skills</w:t>
      </w:r>
      <w:r w:rsidRPr="000A5CD6">
        <w:t>.</w:t>
      </w:r>
    </w:p>
    <w:p w14:paraId="252207AF" w14:textId="3C96D0BB" w:rsidR="000A5CD6" w:rsidRPr="00DF62CA" w:rsidRDefault="000A5CD6" w:rsidP="00DF62CA">
      <w:pPr>
        <w:pStyle w:val="92ParagrafKedua"/>
      </w:pPr>
      <w:r w:rsidRPr="000A5CD6">
        <w:t>Educators and practitioners may have discussed the selection and implementation of effective interventions to address the problem of low reading comprehension achievement. They may have investigated a variety of teaching strategies, educational programs, and initiatives designed to improve reading comprehension skills among secondary students. This process of identifying appropriate interventions included evaluating the viability, scalability, and impact potential of various approaches. In addition, they may have considered the significance of fostering a supportive learning environment that promoted collaboration and active student engagement in reading activities, allowing students to develop their comprehension skills in a meaningful and sustainable manner.</w:t>
      </w:r>
    </w:p>
    <w:p w14:paraId="41CA3EA8" w14:textId="695E38E7" w:rsidR="000A5CD6" w:rsidRPr="000A5CD6" w:rsidRDefault="000A5CD6" w:rsidP="00C03B0B">
      <w:pPr>
        <w:pStyle w:val="92ParagrafKedua"/>
      </w:pPr>
      <w:r w:rsidRPr="000A5CD6">
        <w:t xml:space="preserve">The Rally Coach Strategy is a teaching approach that stems from the cooperative learning model, and it was employed in a research study involving eighth-grade junior high school students (Kagan, 2017). Cooperative learning is a pedagogical method </w:t>
      </w:r>
      <w:r w:rsidR="00DE6562">
        <w:t>involving organizing students into small groups to work together to achieve</w:t>
      </w:r>
      <w:r w:rsidRPr="000A5CD6">
        <w:t xml:space="preserve"> learning objectives (Erickson and </w:t>
      </w:r>
      <w:proofErr w:type="spellStart"/>
      <w:r w:rsidRPr="000A5CD6">
        <w:t>Berns</w:t>
      </w:r>
      <w:proofErr w:type="spellEnd"/>
      <w:r w:rsidRPr="000A5CD6">
        <w:t>, 2016). The Rally Coach Strategy is specifically designed as a group activity within the cooperative learning model. It involves students working in pairs</w:t>
      </w:r>
      <w:r w:rsidR="00DE6562">
        <w:t>; one student solves a problem or completes</w:t>
      </w:r>
      <w:r w:rsidRPr="000A5CD6">
        <w:t xml:space="preserve"> an assignment while the other student coaches and </w:t>
      </w:r>
      <w:r w:rsidR="00DE6562">
        <w:t>assists</w:t>
      </w:r>
      <w:r w:rsidRPr="000A5CD6">
        <w:t xml:space="preserve"> (Kagan, 2017). The roles are then reversed, and the process is repeated.</w:t>
      </w:r>
    </w:p>
    <w:p w14:paraId="06D279B1" w14:textId="77577A89" w:rsidR="000A5CD6" w:rsidRPr="000A5CD6" w:rsidRDefault="000A5CD6" w:rsidP="00C03B0B">
      <w:pPr>
        <w:pStyle w:val="92ParagrafKedua"/>
      </w:pPr>
      <w:r w:rsidRPr="000A5CD6">
        <w:t xml:space="preserve">Thus, the Rally Coach Strategy is an interactive and collaborative teaching approach that encourages active </w:t>
      </w:r>
      <w:r w:rsidR="00DE6562">
        <w:t>student participation and engagement</w:t>
      </w:r>
      <w:r w:rsidRPr="000A5CD6">
        <w:t xml:space="preserve"> (Davoudi &amp; </w:t>
      </w:r>
      <w:proofErr w:type="spellStart"/>
      <w:r w:rsidRPr="000A5CD6">
        <w:t>Mahinpo</w:t>
      </w:r>
      <w:proofErr w:type="spellEnd"/>
      <w:r w:rsidRPr="000A5CD6">
        <w:t xml:space="preserve">, 2012; Pertiwi &amp; </w:t>
      </w:r>
      <w:proofErr w:type="spellStart"/>
      <w:r w:rsidRPr="000A5CD6">
        <w:t>Kartono</w:t>
      </w:r>
      <w:proofErr w:type="spellEnd"/>
      <w:r w:rsidRPr="000A5CD6">
        <w:t>, 2019). By working in pairs and taking turns as the coach or solver, students can develop their problem-solving and critical thinking skills</w:t>
      </w:r>
      <w:r w:rsidR="00DE6562">
        <w:t xml:space="preserve"> while</w:t>
      </w:r>
      <w:r w:rsidRPr="000A5CD6">
        <w:t xml:space="preserve"> improving their ability to communicate and collaborate effectively with others (Kagan, 2017). The Rally Coach Strategy is </w:t>
      </w:r>
      <w:r w:rsidR="00DE6562">
        <w:t>usefu</w:t>
      </w:r>
      <w:r w:rsidRPr="000A5CD6">
        <w:t>l for teachers looking to promote cooperative learning and enhance their students' academic achievement.</w:t>
      </w:r>
    </w:p>
    <w:p w14:paraId="539339CA" w14:textId="62083A05" w:rsidR="000A5CD6" w:rsidRPr="000A5CD6" w:rsidRDefault="000A5CD6" w:rsidP="00C03B0B">
      <w:pPr>
        <w:pStyle w:val="92ParagrafKedua"/>
      </w:pPr>
      <w:r w:rsidRPr="000A5CD6">
        <w:t xml:space="preserve">The Rally Coach Strategy offers numerous advantages for teachers and students during the teaching and learning process (Stewart, 2015; Pertiwi &amp; </w:t>
      </w:r>
      <w:proofErr w:type="spellStart"/>
      <w:r w:rsidRPr="000A5CD6">
        <w:t>Kartono</w:t>
      </w:r>
      <w:proofErr w:type="spellEnd"/>
      <w:r w:rsidRPr="000A5CD6">
        <w:t xml:space="preserve">, 2019; </w:t>
      </w:r>
      <w:proofErr w:type="spellStart"/>
      <w:r w:rsidRPr="000A5CD6">
        <w:t>Harianja</w:t>
      </w:r>
      <w:proofErr w:type="spellEnd"/>
      <w:r w:rsidRPr="000A5CD6">
        <w:t>, 2020). Firstly, it is a versatile strategy that can be applied to various levels of education. Secondly, it is an efficient approach that promotes active student participation, leading to higher levels of engagement and motivation. Thirdly, the strategy encourages students to learn from one another, promoting collaboration and teamwork. Fourthly, the natural motivation that arises from the coaching and praise process can lead to increased student confidence and a positive learning experience. Fifthly, the strategy promotes effective discussion among students, leading to improved communication skills. Finally, the strategy helps students develop independence from the teacher and learn how to work cooperatively.</w:t>
      </w:r>
    </w:p>
    <w:p w14:paraId="521CE6F4" w14:textId="795D8E69" w:rsidR="000A5CD6" w:rsidRPr="000A5CD6" w:rsidRDefault="000A5CD6" w:rsidP="00A20B55">
      <w:pPr>
        <w:pStyle w:val="92ParagrafKedua"/>
      </w:pPr>
      <w:r w:rsidRPr="000A5CD6">
        <w:t>To effectively implement the Rally Coach Strategy, teachers should follow the above procedure outlined by Kagan (2017). Students work in pairs. Partner A solves the first problem, while Partner B watches, checks, coaches, and gives praise. The roles are then reversed, and partners continue to take turns solving successive problems. The strategy can be used with various types of problems, including worksheet problems, oral problems provided by the teacher, and manipulatives. Additionally, each team can check their answers with the other partner in their team after solving two problems, leading to further discussion and collaboration.</w:t>
      </w:r>
    </w:p>
    <w:p w14:paraId="39D5000C" w14:textId="3C31398D" w:rsidR="000A5CD6" w:rsidRPr="000A5CD6" w:rsidRDefault="000A5CD6" w:rsidP="00A20B55">
      <w:pPr>
        <w:pStyle w:val="92ParagrafKedua"/>
      </w:pPr>
      <w:r w:rsidRPr="000A5CD6">
        <w:lastRenderedPageBreak/>
        <w:t xml:space="preserve">Thus, the Rally Coach Strategy offers a range of benefits for both teachers and students, making it a valuable teaching strategy that can enhance the teaching and learning process. </w:t>
      </w:r>
      <w:r w:rsidR="00DE6562">
        <w:t>Promoting active student participation, collaboration, and independent learning</w:t>
      </w:r>
      <w:r w:rsidRPr="000A5CD6">
        <w:t xml:space="preserve"> can lead to improved academic achievement, increased student motivation and engagement, and enhanced communication and teamwork skills. </w:t>
      </w:r>
    </w:p>
    <w:p w14:paraId="3B6FAB4B" w14:textId="215BB362" w:rsidR="000A5CD6" w:rsidRPr="000A5CD6" w:rsidRDefault="000A5CD6" w:rsidP="00A20B55">
      <w:pPr>
        <w:pStyle w:val="92ParagrafKedua"/>
      </w:pPr>
      <w:r w:rsidRPr="000A5CD6">
        <w:t xml:space="preserve">Reading comprehension is a fundamental aspect of language acquisition and a critical skill for academic success. Experts in the field have offered various definitions of reading comprehension, which is generally understood as the ability to understand and interpret written material. Singer (2015) describes reading comprehension as </w:t>
      </w:r>
      <w:r w:rsidR="00DE6562">
        <w:t>interpreting written symbols, assimilating presented ideas, and critically thinking</w:t>
      </w:r>
      <w:r w:rsidRPr="000A5CD6">
        <w:t xml:space="preserve"> while deciphering the text. Klinger et al. (2016) assert that reading comprehension is a multicomponent, highly complex process that involves many interactions between readers and the text, including previous knowledge, strategy use, interest in the text, and understanding of text types.</w:t>
      </w:r>
    </w:p>
    <w:p w14:paraId="460B3B68" w14:textId="50E4D3AF" w:rsidR="000A5CD6" w:rsidRPr="000A5CD6" w:rsidRDefault="00DE6562" w:rsidP="00A20B55">
      <w:pPr>
        <w:pStyle w:val="92ParagrafKedua"/>
        <w:rPr>
          <w:lang w:val="en-US"/>
        </w:rPr>
      </w:pPr>
      <w:r>
        <w:rPr>
          <w:lang w:val="en-US"/>
        </w:rPr>
        <w:t>Reading comprehension aim</w:t>
      </w:r>
      <w:r w:rsidR="000A5CD6" w:rsidRPr="000A5CD6">
        <w:rPr>
          <w:lang w:val="en-US"/>
        </w:rPr>
        <w:t xml:space="preserve">s to gain a deep understanding of the text and extract important information that may be useful for the reader. </w:t>
      </w:r>
      <w:proofErr w:type="spellStart"/>
      <w:r w:rsidR="000A5CD6" w:rsidRPr="000A5CD6">
        <w:rPr>
          <w:lang w:val="en-US"/>
        </w:rPr>
        <w:t>Bukart</w:t>
      </w:r>
      <w:proofErr w:type="spellEnd"/>
      <w:r w:rsidR="000A5CD6" w:rsidRPr="000A5CD6">
        <w:rPr>
          <w:lang w:val="en-US"/>
        </w:rPr>
        <w:t xml:space="preserve"> (2018) notes that effective reading comprehension requires the reader to possess the appropriate skills and strategies for the type of text they are reading and understand how to apply them. Wallace (2012) outlines five different purposes of reading</w:t>
      </w:r>
      <w:r>
        <w:rPr>
          <w:lang w:val="en-US"/>
        </w:rPr>
        <w:t>:</w:t>
      </w:r>
      <w:r w:rsidR="000A5CD6" w:rsidRPr="000A5CD6">
        <w:rPr>
          <w:lang w:val="en-US"/>
        </w:rPr>
        <w:t xml:space="preserve"> getting a general idea, passing the time, knowing what is happening in the world, finding useful information, and gaining information about a particular topic or location. Overall, </w:t>
      </w:r>
      <w:r>
        <w:rPr>
          <w:lang w:val="en-US"/>
        </w:rPr>
        <w:t>reading comprehension aim</w:t>
      </w:r>
      <w:r w:rsidR="000A5CD6" w:rsidRPr="000A5CD6">
        <w:rPr>
          <w:lang w:val="en-US"/>
        </w:rPr>
        <w:t>s to gain a thorough understanding of the text and extract meaningful information.</w:t>
      </w:r>
    </w:p>
    <w:p w14:paraId="37F2D27C" w14:textId="70A6CAE6" w:rsidR="000A5CD6" w:rsidRPr="00C03B0B" w:rsidRDefault="000A5CD6" w:rsidP="00C03B0B">
      <w:pPr>
        <w:pStyle w:val="92ParagrafKedua"/>
        <w:rPr>
          <w:lang w:val="en-US"/>
        </w:rPr>
      </w:pPr>
      <w:r w:rsidRPr="000A5CD6">
        <w:rPr>
          <w:lang w:val="en-US"/>
        </w:rPr>
        <w:t xml:space="preserve">Widdowson (2017) identifies five critical factors that influence comprehension skills. These factors include intelligence, the number of ideas a student can grasp, the depth of understanding, the extent of experience, and the mechanics of reading. Given that every student has a unique level of intelligence, it is reasonable to expect variations in the comprehension capacity of </w:t>
      </w:r>
      <w:proofErr w:type="gramStart"/>
      <w:r w:rsidRPr="000A5CD6">
        <w:rPr>
          <w:lang w:val="en-US"/>
        </w:rPr>
        <w:t>each individual</w:t>
      </w:r>
      <w:proofErr w:type="gramEnd"/>
      <w:r w:rsidRPr="000A5CD6">
        <w:rPr>
          <w:lang w:val="en-US"/>
        </w:rPr>
        <w:t xml:space="preserve"> (</w:t>
      </w:r>
      <w:proofErr w:type="spellStart"/>
      <w:r w:rsidRPr="000A5CD6">
        <w:rPr>
          <w:lang w:val="en-US"/>
        </w:rPr>
        <w:t>Samhudi</w:t>
      </w:r>
      <w:proofErr w:type="spellEnd"/>
      <w:r w:rsidRPr="000A5CD6">
        <w:rPr>
          <w:lang w:val="en-US"/>
        </w:rPr>
        <w:t>, 2023). Additionally, the number of ideas that students can absorb, the depth of their understanding, and their experience can impact their ability to comprehend the written text (). Moreover, the mechanics of reading, including vocabulary, syntax, and grammar, may also influence the reader's understanding of the text.</w:t>
      </w:r>
    </w:p>
    <w:p w14:paraId="2881EF32" w14:textId="49C2C7C6" w:rsidR="000A5CD6" w:rsidRPr="000A5CD6" w:rsidRDefault="000A5CD6" w:rsidP="00C03B0B">
      <w:pPr>
        <w:pStyle w:val="92ParagrafKedua"/>
      </w:pPr>
      <w:r w:rsidRPr="000A5CD6">
        <w:t xml:space="preserve">Based on the observation and a preliminary study conducted at SMP Negeri 2 </w:t>
      </w:r>
      <w:proofErr w:type="spellStart"/>
      <w:r w:rsidRPr="000A5CD6">
        <w:t>Lhokseumawe</w:t>
      </w:r>
      <w:proofErr w:type="spellEnd"/>
      <w:r w:rsidRPr="000A5CD6">
        <w:t xml:space="preserve"> during pre-service training program, it was found that the average reading comprehension score of the eighth-grade students at SMP Negeri 2 </w:t>
      </w:r>
      <w:proofErr w:type="spellStart"/>
      <w:r w:rsidRPr="000A5CD6">
        <w:t>Lhokseumawe</w:t>
      </w:r>
      <w:proofErr w:type="spellEnd"/>
      <w:r w:rsidRPr="000A5CD6">
        <w:t xml:space="preserve"> was below the expected level. This indicates that the students' reading comprehension skills are not meeting the desired level. This could be a cause for concern for the school, as it may indicate a lack of effective teaching strategies or a lack of emphasis on reading comprehension in the curriculum.</w:t>
      </w:r>
    </w:p>
    <w:p w14:paraId="006C1465" w14:textId="5076D843" w:rsidR="000A5CD6" w:rsidRPr="000A5CD6" w:rsidRDefault="000A5CD6" w:rsidP="00C03B0B">
      <w:pPr>
        <w:pStyle w:val="92ParagrafKedua"/>
      </w:pPr>
      <w:r w:rsidRPr="000A5CD6">
        <w:t>Thus, it is possible that the students are not being exposed to a variety of reading materials, or they may not have been taught the necessary skills and strategies to comprehend what they read effectively. This could result in difficulties with understanding complex texts, answering questions related to the text, and making inferences based on the information presented.</w:t>
      </w:r>
    </w:p>
    <w:p w14:paraId="23B8BC98" w14:textId="7A535A4D" w:rsidR="000A5CD6" w:rsidRPr="000A5CD6" w:rsidRDefault="000A5CD6" w:rsidP="00C03B0B">
      <w:pPr>
        <w:pStyle w:val="92ParagrafKedua"/>
      </w:pPr>
      <w:r w:rsidRPr="000A5CD6">
        <w:t>This approach emphasizes active participation and collaboration among students, which may result in a better understanding of the reading materials. Working in pairs allows students to help each other clarify concepts, exchange ideas, and discuss textual interpretations. Such interactions may improve comprehension by assisting students in identifying main themes and making connections within the text. Therefore, the use of the Rally Coach strategy for teaching reading comprehension shows potential novelty in improving students' performance in this field of study.</w:t>
      </w:r>
    </w:p>
    <w:p w14:paraId="6F293E07" w14:textId="0127E438" w:rsidR="008014B7" w:rsidRPr="00DD2542" w:rsidRDefault="000A5CD6" w:rsidP="00BE3CB8">
      <w:pPr>
        <w:pStyle w:val="92ParagrafKedua"/>
      </w:pPr>
      <w:r w:rsidRPr="000A5CD6">
        <w:lastRenderedPageBreak/>
        <w:t>From the aforementioned gap and research problems, we could generate a research question: Is there a significant difference in achievement between students who are taught reading comprehension on recount text using Rally Coach Strategy compared to those taught using a conventional one?</w:t>
      </w:r>
    </w:p>
    <w:p w14:paraId="5D8A9156" w14:textId="7F445731" w:rsidR="0053479D" w:rsidRPr="008F4D27" w:rsidRDefault="0053479D" w:rsidP="00DB420C">
      <w:pPr>
        <w:pStyle w:val="6BABArtikel"/>
      </w:pPr>
      <w:r w:rsidRPr="008F4D27">
        <w:t>METHOD</w:t>
      </w:r>
    </w:p>
    <w:p w14:paraId="10B9120E" w14:textId="662CB8CD" w:rsidR="00BE3CB8" w:rsidRPr="00BE3CB8" w:rsidRDefault="00BE3CB8" w:rsidP="00BE3CB8">
      <w:pPr>
        <w:pStyle w:val="91ParagrafPertama"/>
        <w:rPr>
          <w:bCs/>
          <w:lang w:val="en-US"/>
        </w:rPr>
      </w:pPr>
      <w:r w:rsidRPr="00BE3CB8">
        <w:rPr>
          <w:bCs/>
          <w:lang w:val="en-US"/>
        </w:rPr>
        <w:t>The present study utilized a quasi-experimental design to examine the impact of the Rally Coach strategy on eighth-grade students' reading comprehension. According to the number of independent variables involved, quasi-experimental designs are classified as single-variable or factorial designs (</w:t>
      </w:r>
      <w:proofErr w:type="spellStart"/>
      <w:r w:rsidRPr="00BE3CB8">
        <w:rPr>
          <w:bCs/>
          <w:lang w:val="en-US"/>
        </w:rPr>
        <w:t>Ary</w:t>
      </w:r>
      <w:proofErr w:type="spellEnd"/>
      <w:r w:rsidRPr="00BE3CB8">
        <w:rPr>
          <w:bCs/>
          <w:lang w:val="en-US"/>
        </w:rPr>
        <w:t>, 2013). In this study, the independent variable was the Rally Coach strategy, which paired students for a coaching process while the other student completed the test. The Rally Coach strategy was used to teach the 28 students in the experimental group throughout the six-week research period that spanned from April 23 to June 7, 2023. Simultaneously, the control group</w:t>
      </w:r>
      <w:r w:rsidR="00DE6562">
        <w:rPr>
          <w:bCs/>
          <w:lang w:val="en-US"/>
        </w:rPr>
        <w:t xml:space="preserve"> comprising 28 students</w:t>
      </w:r>
      <w:r w:rsidRPr="00BE3CB8">
        <w:rPr>
          <w:bCs/>
          <w:lang w:val="en-US"/>
        </w:rPr>
        <w:t xml:space="preserve"> was instructed using conventional teaching methodologies. There were sixteen female students and twelve male students in the control group. Meanwhile, nine male and nineteen female students made up the experimental group.</w:t>
      </w:r>
    </w:p>
    <w:p w14:paraId="558E6B06" w14:textId="7B1C5C3A" w:rsidR="00BE3CB8" w:rsidRPr="00C03B0B" w:rsidRDefault="00BE3CB8" w:rsidP="00C03B0B">
      <w:pPr>
        <w:pStyle w:val="92ParagrafKedua"/>
        <w:rPr>
          <w:lang w:val="en-US"/>
        </w:rPr>
      </w:pPr>
      <w:r w:rsidRPr="00BE3CB8">
        <w:rPr>
          <w:lang w:val="en-US"/>
        </w:rPr>
        <w:t xml:space="preserve">Data collection consisted of administering pre-tests with recount texts as the test material to both the experimental and control groups. The Rally Coach strategy was implemented in the experimental class over </w:t>
      </w:r>
      <w:r w:rsidR="00DE6562">
        <w:rPr>
          <w:lang w:val="en-US"/>
        </w:rPr>
        <w:t>four days, while the control class continued using</w:t>
      </w:r>
      <w:r w:rsidRPr="00BE3CB8">
        <w:rPr>
          <w:lang w:val="en-US"/>
        </w:rPr>
        <w:t xml:space="preserve"> conventional teaching methods. On the </w:t>
      </w:r>
      <w:r w:rsidR="00DE6562">
        <w:rPr>
          <w:lang w:val="en-US"/>
        </w:rPr>
        <w:t>study's final day,</w:t>
      </w:r>
      <w:r w:rsidRPr="00BE3CB8">
        <w:rPr>
          <w:lang w:val="en-US"/>
        </w:rPr>
        <w:t xml:space="preserve"> the experimental and control groups were given a post-test containing 20 questions about recount text. To analyze the data, statistical methods proposed by </w:t>
      </w:r>
      <w:proofErr w:type="spellStart"/>
      <w:r w:rsidRPr="00BE3CB8">
        <w:rPr>
          <w:lang w:val="en-US"/>
        </w:rPr>
        <w:t>Ary</w:t>
      </w:r>
      <w:proofErr w:type="spellEnd"/>
      <w:r w:rsidRPr="00BE3CB8">
        <w:rPr>
          <w:lang w:val="en-US"/>
        </w:rPr>
        <w:t xml:space="preserve"> (2013) were utilized, including homogeneity tests to assess pre-test results, normality tests to assess post-test results, and t-tests to determine the efficacy of the Rally Coach strategy in teaching reading comprehension.</w:t>
      </w:r>
    </w:p>
    <w:p w14:paraId="7EE891ED" w14:textId="294B034D" w:rsidR="008014B7" w:rsidRDefault="00BE3CB8" w:rsidP="00BE3CB8">
      <w:pPr>
        <w:pStyle w:val="92ParagrafKedua"/>
      </w:pPr>
      <w:r w:rsidRPr="00BE3CB8">
        <w:rPr>
          <w:lang w:val="en-US"/>
        </w:rPr>
        <w:t>The quasi-experimental design permitted a controlled comparison between the experimental and control groups, yielding valuable insights into the effectiveness of the Rally Coach strategy as an intervention for enhancing reading comprehension skills. Utilizing pre- and post-tests, the study assessed students' progress and provided a basis for evaluating the intervention's effectiveness. The rigorous statistical analysis employed in this study further ensured the reliability and validity of the findings, lending credence to the potential educational benefits of implementing the Rally Coach strategy. Through this investigation, the study provides valuable evidence to inform educational practices and interventions aimed at enhancing eighth-grade students' reading comprehension achievement.</w:t>
      </w:r>
    </w:p>
    <w:p w14:paraId="2FE5EA26" w14:textId="6A60164B" w:rsidR="0053479D" w:rsidRDefault="0053479D" w:rsidP="00DB420C">
      <w:pPr>
        <w:pStyle w:val="6BABArtikel"/>
      </w:pPr>
      <w:r w:rsidRPr="0077016A">
        <w:t>RESULT AND DISCUSSION</w:t>
      </w:r>
    </w:p>
    <w:p w14:paraId="018E4533" w14:textId="77777777" w:rsidR="00883AE9" w:rsidRPr="00883AE9" w:rsidRDefault="00883AE9" w:rsidP="00883AE9">
      <w:pPr>
        <w:pStyle w:val="7SUBBAB1"/>
      </w:pPr>
      <w:r w:rsidRPr="00883AE9">
        <w:t>RESULT</w:t>
      </w:r>
    </w:p>
    <w:p w14:paraId="6F1D790C" w14:textId="77777777" w:rsidR="00BE3CB8" w:rsidRPr="00BE3CB8" w:rsidRDefault="00BE3CB8" w:rsidP="005D317D">
      <w:pPr>
        <w:pStyle w:val="8SUBBAB2"/>
      </w:pPr>
      <w:proofErr w:type="spellStart"/>
      <w:r w:rsidRPr="00BE3CB8">
        <w:t>Homogeinety</w:t>
      </w:r>
      <w:proofErr w:type="spellEnd"/>
      <w:r w:rsidRPr="00BE3CB8">
        <w:t xml:space="preserve"> test</w:t>
      </w:r>
    </w:p>
    <w:p w14:paraId="58B9B965" w14:textId="77777777" w:rsidR="00BE3CB8" w:rsidRPr="00BE3CB8" w:rsidRDefault="00BE3CB8" w:rsidP="00BE3CB8">
      <w:pPr>
        <w:spacing w:line="276" w:lineRule="auto"/>
        <w:jc w:val="both"/>
        <w:rPr>
          <w:rFonts w:ascii="Cambria" w:hAnsi="Cambria"/>
          <w:color w:val="000000" w:themeColor="text1"/>
          <w:sz w:val="22"/>
          <w:szCs w:val="22"/>
        </w:rPr>
      </w:pPr>
      <w:r w:rsidRPr="00BE3CB8">
        <w:rPr>
          <w:rFonts w:ascii="Cambria" w:hAnsi="Cambria"/>
          <w:color w:val="000000" w:themeColor="text1"/>
          <w:sz w:val="22"/>
          <w:szCs w:val="22"/>
        </w:rPr>
        <w:t>Below are the results of the data analysis for the mean, variance, and standard deviation of the pre-test scores in both the experimental and control classes.</w:t>
      </w:r>
    </w:p>
    <w:p w14:paraId="680A313B" w14:textId="77777777" w:rsidR="00BE3CB8" w:rsidRPr="00BE3CB8" w:rsidRDefault="00BE3CB8" w:rsidP="00BE3CB8">
      <w:pPr>
        <w:spacing w:line="276" w:lineRule="auto"/>
        <w:jc w:val="both"/>
        <w:rPr>
          <w:rFonts w:ascii="Cambria" w:hAnsi="Cambria"/>
          <w:color w:val="000000" w:themeColor="text1"/>
          <w:sz w:val="22"/>
          <w:szCs w:val="22"/>
        </w:rPr>
      </w:pPr>
    </w:p>
    <w:p w14:paraId="6A0F8098" w14:textId="77777777" w:rsidR="00BE3CB8" w:rsidRPr="00883AE9" w:rsidRDefault="00BE3CB8" w:rsidP="00883AE9">
      <w:pPr>
        <w:pStyle w:val="94PenamaanTabel"/>
        <w:rPr>
          <w:b/>
        </w:rPr>
      </w:pPr>
      <w:r w:rsidRPr="00883AE9">
        <w:rPr>
          <w:b/>
        </w:rPr>
        <w:t>Mean of Experimental Class</w:t>
      </w:r>
    </w:p>
    <w:p w14:paraId="6FC53117" w14:textId="77777777" w:rsidR="00BE3CB8" w:rsidRPr="00BE3CB8" w:rsidRDefault="00BE3CB8" w:rsidP="00BE3CB8">
      <w:pPr>
        <w:spacing w:line="276" w:lineRule="auto"/>
        <w:jc w:val="both"/>
        <w:rPr>
          <w:rFonts w:ascii="Cambria" w:hAnsi="Cambria"/>
          <w:b/>
          <w:bCs/>
          <w:color w:val="000000" w:themeColor="text1"/>
          <w:sz w:val="22"/>
          <w:szCs w:val="22"/>
        </w:rPr>
      </w:pPr>
    </w:p>
    <w:p w14:paraId="7AF93271" w14:textId="06399634" w:rsidR="00BE3CB8" w:rsidRPr="00BE3CB8" w:rsidRDefault="00000000" w:rsidP="00BE3CB8">
      <w:pPr>
        <w:spacing w:line="276" w:lineRule="auto"/>
        <w:jc w:val="both"/>
        <w:rPr>
          <w:rFonts w:ascii="Cambria" w:hAnsi="Cambria"/>
          <w:color w:val="000000" w:themeColor="text1"/>
          <w:sz w:val="22"/>
          <w:szCs w:val="22"/>
        </w:rPr>
      </w:pPr>
      <m:oMathPara>
        <m:oMathParaPr>
          <m:jc m:val="center"/>
        </m:oMathParaPr>
        <m:oMath>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x</m:t>
              </m:r>
            </m:e>
          </m:acc>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nary>
                <m:naryPr>
                  <m:chr m:val="∑"/>
                  <m:limLoc m:val="undOvr"/>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xi</m:t>
                  </m:r>
                </m:e>
              </m:nary>
            </m:num>
            <m:den>
              <m:r>
                <w:rPr>
                  <w:rFonts w:ascii="Cambria Math" w:hAnsi="Cambria Math"/>
                  <w:color w:val="000000" w:themeColor="text1"/>
                  <w:sz w:val="22"/>
                  <w:szCs w:val="22"/>
                </w:rPr>
                <m:t>n</m:t>
              </m:r>
            </m:den>
          </m:f>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1710</m:t>
              </m:r>
            </m:num>
            <m:den>
              <m:r>
                <w:rPr>
                  <w:rFonts w:ascii="Cambria Math" w:hAnsi="Cambria Math"/>
                  <w:color w:val="000000" w:themeColor="text1"/>
                  <w:sz w:val="22"/>
                  <w:szCs w:val="22"/>
                </w:rPr>
                <m:t>28</m:t>
              </m:r>
            </m:den>
          </m:f>
          <m:r>
            <w:rPr>
              <w:rFonts w:ascii="Cambria Math" w:hAnsi="Cambria Math"/>
              <w:color w:val="000000" w:themeColor="text1"/>
              <w:sz w:val="22"/>
              <w:szCs w:val="22"/>
            </w:rPr>
            <m:t>=61,07</m:t>
          </m:r>
        </m:oMath>
      </m:oMathPara>
    </w:p>
    <w:p w14:paraId="45111941" w14:textId="77777777" w:rsidR="00BE3CB8" w:rsidRPr="00BE3CB8" w:rsidRDefault="00BE3CB8" w:rsidP="00BE3CB8">
      <w:pPr>
        <w:spacing w:line="276" w:lineRule="auto"/>
        <w:jc w:val="both"/>
        <w:rPr>
          <w:rFonts w:ascii="Cambria" w:hAnsi="Cambria"/>
          <w:color w:val="000000" w:themeColor="text1"/>
          <w:sz w:val="22"/>
          <w:szCs w:val="22"/>
          <w:lang w:val="en-US"/>
        </w:rPr>
      </w:pPr>
    </w:p>
    <w:p w14:paraId="3C02A45C" w14:textId="77777777" w:rsidR="00BE3CB8" w:rsidRPr="00BE3CB8" w:rsidRDefault="00BE3CB8" w:rsidP="00BE3CB8">
      <w:pPr>
        <w:pStyle w:val="92ParagrafKedua"/>
      </w:pPr>
      <w:r w:rsidRPr="00BE3CB8">
        <w:lastRenderedPageBreak/>
        <w:t>According to the statistical analysis, the mean of the pre-test scores for the experimental class was found to be 61.07, which was derived from the scores of the 28 students who participated in the pre-test.</w:t>
      </w:r>
    </w:p>
    <w:p w14:paraId="4C683DC7" w14:textId="77777777" w:rsidR="00BE3CB8" w:rsidRPr="00BE3CB8" w:rsidRDefault="00BE3CB8" w:rsidP="00BE3CB8">
      <w:pPr>
        <w:spacing w:line="276" w:lineRule="auto"/>
        <w:jc w:val="both"/>
        <w:rPr>
          <w:rFonts w:ascii="Cambria" w:hAnsi="Cambria"/>
          <w:color w:val="000000" w:themeColor="text1"/>
          <w:sz w:val="22"/>
          <w:szCs w:val="22"/>
        </w:rPr>
      </w:pPr>
    </w:p>
    <w:p w14:paraId="5616EBC2" w14:textId="77777777" w:rsidR="00BE3CB8" w:rsidRPr="00883AE9" w:rsidRDefault="00BE3CB8" w:rsidP="00883AE9">
      <w:pPr>
        <w:pStyle w:val="94PenamaanTabel"/>
        <w:rPr>
          <w:b/>
        </w:rPr>
      </w:pPr>
      <w:r w:rsidRPr="00883AE9">
        <w:rPr>
          <w:b/>
        </w:rPr>
        <w:t>Variance and Standard Deviation of Experimental Class</w:t>
      </w:r>
    </w:p>
    <w:p w14:paraId="485F63F8" w14:textId="77777777" w:rsidR="00BE3CB8" w:rsidRPr="00BE3CB8" w:rsidRDefault="00BE3CB8" w:rsidP="00BE3CB8">
      <w:pPr>
        <w:spacing w:line="276" w:lineRule="auto"/>
        <w:jc w:val="both"/>
        <w:rPr>
          <w:rFonts w:ascii="Cambria" w:hAnsi="Cambria"/>
          <w:i/>
          <w:iCs/>
          <w:color w:val="000000" w:themeColor="text1"/>
          <w:sz w:val="22"/>
          <w:szCs w:val="22"/>
        </w:rPr>
      </w:pPr>
    </w:p>
    <w:p w14:paraId="0E8AE98E" w14:textId="0489EC5C" w:rsidR="00BE3CB8" w:rsidRPr="00BE3CB8" w:rsidRDefault="00BE3CB8" w:rsidP="00BE3CB8">
      <w:pPr>
        <w:spacing w:line="276" w:lineRule="auto"/>
        <w:jc w:val="both"/>
        <w:rPr>
          <w:rFonts w:ascii="Cambria" w:hAnsi="Cambria"/>
          <w:color w:val="000000" w:themeColor="text1"/>
          <w:sz w:val="22"/>
          <w:szCs w:val="22"/>
        </w:rPr>
      </w:pPr>
      <m:oMathPara>
        <m:oMathParaPr>
          <m:jc m:val="center"/>
        </m:oMathParaPr>
        <m:oMath>
          <m:r>
            <w:rPr>
              <w:rFonts w:ascii="Cambria Math" w:hAnsi="Cambria Math"/>
              <w:color w:val="000000" w:themeColor="text1"/>
              <w:sz w:val="22"/>
              <w:szCs w:val="22"/>
            </w:rPr>
            <m:t>S</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1</m:t>
              </m:r>
            </m:e>
            <m:sup>
              <m:r>
                <w:rPr>
                  <w:rFonts w:ascii="Cambria Math" w:hAnsi="Cambria Math"/>
                  <w:color w:val="000000" w:themeColor="text1"/>
                  <w:sz w:val="22"/>
                  <w:szCs w:val="22"/>
                </w:rPr>
                <m:t>2</m:t>
              </m:r>
            </m:sup>
          </m:sSup>
          <m:r>
            <w:rPr>
              <w:rFonts w:ascii="Cambria Math" w:hAnsi="Cambria Math"/>
              <w:color w:val="000000" w:themeColor="text1"/>
              <w:sz w:val="22"/>
              <w:szCs w:val="22"/>
            </w:rPr>
            <m:t>=28,439</m:t>
          </m:r>
        </m:oMath>
      </m:oMathPara>
    </w:p>
    <w:p w14:paraId="022E9281" w14:textId="27E18D7C" w:rsidR="00BE3CB8" w:rsidRPr="00BE3CB8" w:rsidRDefault="00BE3CB8" w:rsidP="00BE3CB8">
      <w:pPr>
        <w:spacing w:line="276" w:lineRule="auto"/>
        <w:jc w:val="center"/>
        <w:rPr>
          <w:rFonts w:ascii="Cambria" w:hAnsi="Cambria"/>
          <w:i/>
          <w:iCs/>
          <w:color w:val="000000" w:themeColor="text1"/>
          <w:sz w:val="22"/>
          <w:szCs w:val="22"/>
        </w:rPr>
      </w:pPr>
      <m:oMath>
        <m:r>
          <w:rPr>
            <w:rFonts w:ascii="Cambria Math" w:hAnsi="Cambria Math"/>
            <w:color w:val="000000" w:themeColor="text1"/>
            <w:sz w:val="22"/>
            <w:szCs w:val="22"/>
          </w:rPr>
          <m:t xml:space="preserve">S1= </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28,439</m:t>
            </m:r>
          </m:e>
        </m:rad>
      </m:oMath>
      <w:r w:rsidRPr="00BE3CB8">
        <w:rPr>
          <w:rFonts w:ascii="Cambria" w:hAnsi="Cambria"/>
          <w:color w:val="000000" w:themeColor="text1"/>
          <w:sz w:val="22"/>
          <w:szCs w:val="22"/>
        </w:rPr>
        <w:t xml:space="preserve"> = 5,33</w:t>
      </w:r>
    </w:p>
    <w:p w14:paraId="4FB70EE4" w14:textId="77777777" w:rsidR="00BE3CB8" w:rsidRPr="00BE3CB8" w:rsidRDefault="00BE3CB8" w:rsidP="00BE3CB8">
      <w:pPr>
        <w:spacing w:line="276" w:lineRule="auto"/>
        <w:jc w:val="both"/>
        <w:rPr>
          <w:rFonts w:ascii="Cambria" w:hAnsi="Cambria"/>
          <w:i/>
          <w:iCs/>
          <w:color w:val="000000" w:themeColor="text1"/>
          <w:sz w:val="22"/>
          <w:szCs w:val="22"/>
        </w:rPr>
      </w:pPr>
    </w:p>
    <w:p w14:paraId="3CC32B3B" w14:textId="77777777" w:rsidR="00BE3CB8" w:rsidRPr="00BE3CB8" w:rsidRDefault="00BE3CB8" w:rsidP="00C03B0B">
      <w:pPr>
        <w:pStyle w:val="92ParagrafKedua"/>
      </w:pPr>
      <w:r w:rsidRPr="00BE3CB8">
        <w:t xml:space="preserve">Based on the statistical analysis, it can be observed that the variance for the experimental class was </w:t>
      </w:r>
      <w:r w:rsidRPr="00BE3CB8">
        <w:rPr>
          <w:i/>
          <w:iCs/>
        </w:rPr>
        <w:t>S1</w:t>
      </w:r>
      <w:r w:rsidRPr="00BE3CB8">
        <w:rPr>
          <w:i/>
          <w:iCs/>
          <w:vertAlign w:val="superscript"/>
        </w:rPr>
        <w:t>2</w:t>
      </w:r>
      <w:r w:rsidRPr="00BE3CB8">
        <w:t>, which yielded a value of 28.439. In addition, the standard deviation for the experimental class was S1, which yielded a value of 5.33. These results provide important insights into the distribution of scores within the experimental class, indicating the degree of variability in the scores around the mean.</w:t>
      </w:r>
    </w:p>
    <w:p w14:paraId="265E3E37" w14:textId="77777777" w:rsidR="00BE3CB8" w:rsidRPr="00BE3CB8" w:rsidRDefault="00BE3CB8" w:rsidP="00BE3CB8">
      <w:pPr>
        <w:spacing w:line="276" w:lineRule="auto"/>
        <w:jc w:val="both"/>
        <w:rPr>
          <w:rFonts w:ascii="Cambria" w:hAnsi="Cambria"/>
          <w:b/>
          <w:bCs/>
          <w:color w:val="000000" w:themeColor="text1"/>
          <w:sz w:val="22"/>
          <w:szCs w:val="22"/>
        </w:rPr>
      </w:pPr>
    </w:p>
    <w:p w14:paraId="08859E46" w14:textId="77777777" w:rsidR="00BE3CB8" w:rsidRPr="00883AE9" w:rsidRDefault="00BE3CB8" w:rsidP="00883AE9">
      <w:pPr>
        <w:pStyle w:val="94PenamaanTabel"/>
        <w:rPr>
          <w:b/>
        </w:rPr>
      </w:pPr>
      <w:r w:rsidRPr="00883AE9">
        <w:rPr>
          <w:b/>
        </w:rPr>
        <w:t>Mean of Control Class</w:t>
      </w:r>
    </w:p>
    <w:p w14:paraId="09159230" w14:textId="77777777" w:rsidR="00BE3CB8" w:rsidRPr="00BE3CB8" w:rsidRDefault="00BE3CB8" w:rsidP="00BE3CB8">
      <w:pPr>
        <w:spacing w:line="276" w:lineRule="auto"/>
        <w:jc w:val="both"/>
        <w:rPr>
          <w:rFonts w:ascii="Cambria" w:hAnsi="Cambria"/>
          <w:b/>
          <w:bCs/>
          <w:color w:val="000000" w:themeColor="text1"/>
          <w:sz w:val="22"/>
          <w:szCs w:val="22"/>
        </w:rPr>
      </w:pPr>
    </w:p>
    <w:p w14:paraId="1B95FC1A" w14:textId="53987D27" w:rsidR="00BE3CB8" w:rsidRPr="00BE3CB8" w:rsidRDefault="00000000" w:rsidP="00BE3CB8">
      <w:pPr>
        <w:spacing w:line="276" w:lineRule="auto"/>
        <w:jc w:val="both"/>
        <w:rPr>
          <w:rFonts w:ascii="Cambria" w:hAnsi="Cambria"/>
          <w:color w:val="000000" w:themeColor="text1"/>
          <w:sz w:val="22"/>
          <w:szCs w:val="22"/>
        </w:rPr>
      </w:pPr>
      <m:oMathPara>
        <m:oMathParaPr>
          <m:jc m:val="center"/>
        </m:oMathParaPr>
        <m:oMath>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x</m:t>
              </m:r>
            </m:e>
          </m:acc>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nary>
                <m:naryPr>
                  <m:chr m:val="∑"/>
                  <m:limLoc m:val="undOvr"/>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xi</m:t>
                  </m:r>
                </m:e>
              </m:nary>
            </m:num>
            <m:den>
              <m:r>
                <w:rPr>
                  <w:rFonts w:ascii="Cambria Math" w:hAnsi="Cambria Math"/>
                  <w:color w:val="000000" w:themeColor="text1"/>
                  <w:sz w:val="22"/>
                  <w:szCs w:val="22"/>
                </w:rPr>
                <m:t>n</m:t>
              </m:r>
            </m:den>
          </m:f>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1705</m:t>
              </m:r>
            </m:num>
            <m:den>
              <m:r>
                <w:rPr>
                  <w:rFonts w:ascii="Cambria Math" w:hAnsi="Cambria Math"/>
                  <w:color w:val="000000" w:themeColor="text1"/>
                  <w:sz w:val="22"/>
                  <w:szCs w:val="22"/>
                </w:rPr>
                <m:t>28</m:t>
              </m:r>
            </m:den>
          </m:f>
          <m:r>
            <w:rPr>
              <w:rFonts w:ascii="Cambria Math" w:hAnsi="Cambria Math"/>
              <w:color w:val="000000" w:themeColor="text1"/>
              <w:sz w:val="22"/>
              <w:szCs w:val="22"/>
            </w:rPr>
            <m:t>=60,89</m:t>
          </m:r>
        </m:oMath>
      </m:oMathPara>
    </w:p>
    <w:p w14:paraId="63F541EB" w14:textId="77777777" w:rsidR="00BE3CB8" w:rsidRPr="00BE3CB8" w:rsidRDefault="00BE3CB8" w:rsidP="00BE3CB8">
      <w:pPr>
        <w:spacing w:line="276" w:lineRule="auto"/>
        <w:jc w:val="both"/>
        <w:rPr>
          <w:rFonts w:ascii="Cambria" w:hAnsi="Cambria"/>
          <w:color w:val="000000" w:themeColor="text1"/>
          <w:sz w:val="22"/>
          <w:szCs w:val="22"/>
          <w:lang w:val="en-US"/>
        </w:rPr>
      </w:pPr>
    </w:p>
    <w:p w14:paraId="52EEB15B" w14:textId="77777777" w:rsidR="00BE3CB8" w:rsidRPr="00BE3CB8" w:rsidRDefault="00BE3CB8" w:rsidP="00BE3CB8">
      <w:pPr>
        <w:pStyle w:val="92ParagrafKedua"/>
      </w:pPr>
      <w:r w:rsidRPr="00BE3CB8">
        <w:t>Based on the statistical analysis, the mean score of the control class in the pre-test was found to be 60.89. This value was obtained from the pre-test scores of the 28 students in the control class.</w:t>
      </w:r>
    </w:p>
    <w:p w14:paraId="2A16D9DC" w14:textId="77777777" w:rsidR="00BE3CB8" w:rsidRDefault="00BE3CB8" w:rsidP="00BE3CB8">
      <w:pPr>
        <w:spacing w:line="276" w:lineRule="auto"/>
        <w:jc w:val="both"/>
        <w:rPr>
          <w:rFonts w:ascii="Cambria" w:hAnsi="Cambria"/>
          <w:color w:val="000000" w:themeColor="text1"/>
          <w:sz w:val="22"/>
          <w:szCs w:val="22"/>
        </w:rPr>
      </w:pPr>
    </w:p>
    <w:p w14:paraId="25F1D935" w14:textId="77777777" w:rsidR="00BE3CB8" w:rsidRPr="00BE3CB8" w:rsidRDefault="00BE3CB8" w:rsidP="00BE3CB8">
      <w:pPr>
        <w:spacing w:line="276" w:lineRule="auto"/>
        <w:jc w:val="both"/>
        <w:rPr>
          <w:rFonts w:ascii="Cambria" w:hAnsi="Cambria"/>
          <w:color w:val="000000" w:themeColor="text1"/>
          <w:sz w:val="22"/>
          <w:szCs w:val="22"/>
        </w:rPr>
      </w:pPr>
    </w:p>
    <w:p w14:paraId="49B092AE" w14:textId="77777777" w:rsidR="00BE3CB8" w:rsidRPr="00883AE9" w:rsidRDefault="00BE3CB8" w:rsidP="00883AE9">
      <w:pPr>
        <w:pStyle w:val="94PenamaanTabel"/>
        <w:rPr>
          <w:b/>
        </w:rPr>
      </w:pPr>
      <w:r w:rsidRPr="00883AE9">
        <w:rPr>
          <w:b/>
        </w:rPr>
        <w:t>Variance and Standard Deviation of Control Class</w:t>
      </w:r>
    </w:p>
    <w:p w14:paraId="15F7FB2D" w14:textId="77777777" w:rsidR="00BE3CB8" w:rsidRPr="00BE3CB8" w:rsidRDefault="00BE3CB8" w:rsidP="00BE3CB8">
      <w:pPr>
        <w:spacing w:line="276" w:lineRule="auto"/>
        <w:jc w:val="both"/>
        <w:rPr>
          <w:rFonts w:ascii="Cambria" w:hAnsi="Cambria"/>
          <w:i/>
          <w:iCs/>
          <w:color w:val="000000" w:themeColor="text1"/>
          <w:sz w:val="22"/>
          <w:szCs w:val="22"/>
        </w:rPr>
      </w:pPr>
    </w:p>
    <w:p w14:paraId="656B9848" w14:textId="35ED5F75" w:rsidR="00BE3CB8" w:rsidRPr="00BE3CB8" w:rsidRDefault="00BE3CB8" w:rsidP="00BE3CB8">
      <w:pPr>
        <w:spacing w:line="276" w:lineRule="auto"/>
        <w:jc w:val="both"/>
        <w:rPr>
          <w:rFonts w:ascii="Cambria" w:hAnsi="Cambria"/>
          <w:color w:val="000000" w:themeColor="text1"/>
          <w:sz w:val="22"/>
          <w:szCs w:val="22"/>
        </w:rPr>
      </w:pPr>
      <m:oMathPara>
        <m:oMathParaPr>
          <m:jc m:val="center"/>
        </m:oMathParaPr>
        <m:oMath>
          <m:r>
            <w:rPr>
              <w:rFonts w:ascii="Cambria Math" w:hAnsi="Cambria Math"/>
              <w:color w:val="000000" w:themeColor="text1"/>
              <w:sz w:val="22"/>
              <w:szCs w:val="22"/>
            </w:rPr>
            <m:t>S</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2</m:t>
              </m:r>
            </m:e>
            <m:sup>
              <m:r>
                <w:rPr>
                  <w:rFonts w:ascii="Cambria Math" w:hAnsi="Cambria Math"/>
                  <w:color w:val="000000" w:themeColor="text1"/>
                  <w:sz w:val="22"/>
                  <w:szCs w:val="22"/>
                </w:rPr>
                <m:t>2</m:t>
              </m:r>
            </m:sup>
          </m:sSup>
          <m:r>
            <w:rPr>
              <w:rFonts w:ascii="Cambria Math" w:hAnsi="Cambria Math"/>
              <w:color w:val="000000" w:themeColor="text1"/>
              <w:sz w:val="22"/>
              <w:szCs w:val="22"/>
            </w:rPr>
            <m:t>=22,321</m:t>
          </m:r>
        </m:oMath>
      </m:oMathPara>
    </w:p>
    <w:p w14:paraId="6BBDDF11" w14:textId="15BC40BF" w:rsidR="00BE3CB8" w:rsidRPr="00BE3CB8" w:rsidRDefault="00BE3CB8" w:rsidP="00BE3CB8">
      <w:pPr>
        <w:spacing w:line="276" w:lineRule="auto"/>
        <w:jc w:val="center"/>
        <w:rPr>
          <w:rFonts w:ascii="Cambria" w:hAnsi="Cambria"/>
          <w:i/>
          <w:iCs/>
          <w:color w:val="000000" w:themeColor="text1"/>
          <w:sz w:val="22"/>
          <w:szCs w:val="22"/>
        </w:rPr>
      </w:pPr>
      <m:oMath>
        <m:r>
          <w:rPr>
            <w:rFonts w:ascii="Cambria Math" w:hAnsi="Cambria Math"/>
            <w:color w:val="000000" w:themeColor="text1"/>
            <w:sz w:val="22"/>
            <w:szCs w:val="22"/>
          </w:rPr>
          <m:t xml:space="preserve">S2= </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22,321</m:t>
            </m:r>
          </m:e>
        </m:rad>
      </m:oMath>
      <w:r w:rsidRPr="00BE3CB8">
        <w:rPr>
          <w:rFonts w:ascii="Cambria" w:hAnsi="Cambria"/>
          <w:color w:val="000000" w:themeColor="text1"/>
          <w:sz w:val="22"/>
          <w:szCs w:val="22"/>
        </w:rPr>
        <w:t xml:space="preserve"> = 4,72</w:t>
      </w:r>
    </w:p>
    <w:p w14:paraId="6E237201" w14:textId="77777777" w:rsidR="00BE3CB8" w:rsidRPr="00BE3CB8" w:rsidRDefault="00BE3CB8" w:rsidP="00BE3CB8">
      <w:pPr>
        <w:spacing w:line="276" w:lineRule="auto"/>
        <w:jc w:val="both"/>
        <w:rPr>
          <w:rFonts w:ascii="Cambria" w:hAnsi="Cambria"/>
          <w:i/>
          <w:iCs/>
          <w:color w:val="000000" w:themeColor="text1"/>
          <w:sz w:val="22"/>
          <w:szCs w:val="22"/>
        </w:rPr>
      </w:pPr>
    </w:p>
    <w:p w14:paraId="60D980AE" w14:textId="77777777" w:rsidR="00BE3CB8" w:rsidRPr="00BE3CB8" w:rsidRDefault="00BE3CB8" w:rsidP="00BE3CB8">
      <w:pPr>
        <w:pStyle w:val="92ParagrafKedua"/>
      </w:pPr>
      <w:r w:rsidRPr="00BE3CB8">
        <w:t xml:space="preserve">From the statistical result, it can be seen that </w:t>
      </w:r>
      <w:r w:rsidRPr="00BE3CB8">
        <w:rPr>
          <w:i/>
          <w:iCs/>
        </w:rPr>
        <w:t>S2</w:t>
      </w:r>
      <w:r w:rsidRPr="00BE3CB8">
        <w:rPr>
          <w:i/>
          <w:iCs/>
          <w:vertAlign w:val="superscript"/>
        </w:rPr>
        <w:t>2</w:t>
      </w:r>
      <w:r w:rsidRPr="00BE3CB8">
        <w:t xml:space="preserve"> represents the variance and S2 represents the standard deviation of the control class. The variance value was 22.321 and the standard deviation value was 4.72, based on the pre-test results of 28 students.</w:t>
      </w:r>
    </w:p>
    <w:p w14:paraId="132A77D8" w14:textId="77777777" w:rsidR="00BE3CB8" w:rsidRPr="00BE3CB8" w:rsidRDefault="00BE3CB8" w:rsidP="00BE3CB8">
      <w:pPr>
        <w:spacing w:line="276" w:lineRule="auto"/>
        <w:jc w:val="both"/>
        <w:rPr>
          <w:rFonts w:ascii="Cambria" w:hAnsi="Cambria"/>
          <w:color w:val="000000" w:themeColor="text1"/>
          <w:sz w:val="22"/>
          <w:szCs w:val="22"/>
        </w:rPr>
      </w:pPr>
    </w:p>
    <w:p w14:paraId="5F444AC5" w14:textId="77777777" w:rsidR="00BE3CB8" w:rsidRPr="00883AE9" w:rsidRDefault="00BE3CB8" w:rsidP="00883AE9">
      <w:pPr>
        <w:pStyle w:val="94PenamaanTabel"/>
        <w:rPr>
          <w:b/>
        </w:rPr>
      </w:pPr>
      <w:proofErr w:type="spellStart"/>
      <w:r w:rsidRPr="00883AE9">
        <w:rPr>
          <w:b/>
        </w:rPr>
        <w:t>Homogeinety</w:t>
      </w:r>
      <w:proofErr w:type="spellEnd"/>
      <w:r w:rsidRPr="00883AE9">
        <w:rPr>
          <w:b/>
        </w:rPr>
        <w:t xml:space="preserve"> Test Result</w:t>
      </w:r>
    </w:p>
    <w:p w14:paraId="33D7A20E" w14:textId="77777777" w:rsidR="00BE3CB8" w:rsidRPr="00BE3CB8" w:rsidRDefault="00BE3CB8" w:rsidP="00883AE9">
      <w:pPr>
        <w:pStyle w:val="91ParagrafPertama"/>
        <w:rPr>
          <w:lang w:val="en-US"/>
        </w:rPr>
      </w:pPr>
      <w:r w:rsidRPr="00BE3CB8">
        <w:t>To test for the homogeneity of data, the formula below was used in this study:</w:t>
      </w:r>
    </w:p>
    <w:p w14:paraId="7270B672" w14:textId="77777777" w:rsidR="00BE3CB8" w:rsidRPr="00BE3CB8" w:rsidRDefault="00BE3CB8" w:rsidP="00BE3CB8">
      <w:pPr>
        <w:spacing w:line="276" w:lineRule="auto"/>
        <w:jc w:val="both"/>
        <w:rPr>
          <w:rFonts w:ascii="Cambria" w:hAnsi="Cambria"/>
          <w:color w:val="000000" w:themeColor="text1"/>
          <w:sz w:val="22"/>
          <w:szCs w:val="22"/>
          <w:lang w:val="en-US"/>
        </w:rPr>
      </w:pPr>
    </w:p>
    <w:p w14:paraId="69141891" w14:textId="30794488" w:rsidR="00BE3CB8" w:rsidRPr="00BE3CB8" w:rsidRDefault="00BE3CB8" w:rsidP="00BE3CB8">
      <w:pPr>
        <w:spacing w:line="276" w:lineRule="auto"/>
        <w:jc w:val="both"/>
        <w:rPr>
          <w:rFonts w:ascii="Cambria" w:hAnsi="Cambria"/>
          <w:color w:val="000000" w:themeColor="text1"/>
          <w:sz w:val="22"/>
          <w:szCs w:val="22"/>
        </w:rPr>
      </w:pPr>
      <m:oMathPara>
        <m:oMathParaPr>
          <m:jc m:val="center"/>
        </m:oMathParaPr>
        <m:oMath>
          <m:r>
            <w:rPr>
              <w:rFonts w:ascii="Cambria Math" w:hAnsi="Cambria Math"/>
              <w:color w:val="000000" w:themeColor="text1"/>
              <w:sz w:val="22"/>
              <w:szCs w:val="22"/>
            </w:rPr>
            <m:t xml:space="preserve">f= </m:t>
          </m:r>
          <m:f>
            <m:fPr>
              <m:ctrlPr>
                <w:rPr>
                  <w:rFonts w:ascii="Cambria Math" w:hAnsi="Cambria Math"/>
                  <w:i/>
                  <w:color w:val="000000" w:themeColor="text1"/>
                  <w:sz w:val="22"/>
                  <w:szCs w:val="22"/>
                </w:rPr>
              </m:ctrlPr>
            </m:fPr>
            <m:num>
              <m:r>
                <w:rPr>
                  <w:rFonts w:ascii="Cambria Math" w:hAnsi="Cambria Math"/>
                  <w:color w:val="000000" w:themeColor="text1"/>
                  <w:sz w:val="22"/>
                  <w:szCs w:val="22"/>
                </w:rPr>
                <m:t>the biggest variance</m:t>
              </m:r>
            </m:num>
            <m:den>
              <m:r>
                <w:rPr>
                  <w:rFonts w:ascii="Cambria Math" w:hAnsi="Cambria Math"/>
                  <w:color w:val="000000" w:themeColor="text1"/>
                  <w:sz w:val="22"/>
                  <w:szCs w:val="22"/>
                </w:rPr>
                <m:t>the smallest variance</m:t>
              </m:r>
            </m:den>
          </m:f>
        </m:oMath>
      </m:oMathPara>
    </w:p>
    <w:p w14:paraId="42FF54E8" w14:textId="670DC933" w:rsidR="00BE3CB8" w:rsidRPr="00BE3CB8" w:rsidRDefault="00BE3CB8" w:rsidP="00BE3CB8">
      <w:pPr>
        <w:spacing w:line="276" w:lineRule="auto"/>
        <w:jc w:val="both"/>
        <w:rPr>
          <w:rFonts w:ascii="Cambria" w:hAnsi="Cambria"/>
          <w:color w:val="000000" w:themeColor="text1"/>
          <w:sz w:val="22"/>
          <w:szCs w:val="22"/>
        </w:rPr>
      </w:pPr>
      <m:oMathPara>
        <m:oMathParaPr>
          <m:jc m:val="center"/>
        </m:oMathParaPr>
        <m:oMath>
          <m:r>
            <w:rPr>
              <w:rFonts w:ascii="Cambria Math" w:hAnsi="Cambria Math"/>
              <w:color w:val="000000" w:themeColor="text1"/>
              <w:sz w:val="22"/>
              <w:szCs w:val="22"/>
            </w:rPr>
            <m:t xml:space="preserve">f= </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S1</m:t>
                  </m:r>
                </m:e>
                <m:sup>
                  <m:r>
                    <w:rPr>
                      <w:rFonts w:ascii="Cambria Math" w:hAnsi="Cambria Math"/>
                      <w:color w:val="000000" w:themeColor="text1"/>
                      <w:sz w:val="22"/>
                      <w:szCs w:val="22"/>
                    </w:rPr>
                    <m:t>2</m:t>
                  </m:r>
                </m:sup>
              </m:sSup>
            </m:num>
            <m:den>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S2</m:t>
                  </m:r>
                </m:e>
                <m:sup>
                  <m:r>
                    <w:rPr>
                      <w:rFonts w:ascii="Cambria Math" w:hAnsi="Cambria Math"/>
                      <w:color w:val="000000" w:themeColor="text1"/>
                      <w:sz w:val="22"/>
                      <w:szCs w:val="22"/>
                    </w:rPr>
                    <m:t>2</m:t>
                  </m:r>
                </m:sup>
              </m:sSup>
            </m:den>
          </m:f>
        </m:oMath>
      </m:oMathPara>
    </w:p>
    <w:p w14:paraId="58692724" w14:textId="7A3A830C" w:rsidR="00BE3CB8" w:rsidRPr="00BE3CB8" w:rsidRDefault="00BE3CB8" w:rsidP="00BE3CB8">
      <w:pPr>
        <w:spacing w:line="276" w:lineRule="auto"/>
        <w:jc w:val="both"/>
        <w:rPr>
          <w:rFonts w:ascii="Cambria" w:hAnsi="Cambria"/>
          <w:color w:val="000000" w:themeColor="text1"/>
          <w:sz w:val="22"/>
          <w:szCs w:val="22"/>
        </w:rPr>
      </w:pPr>
      <m:oMathPara>
        <m:oMathParaPr>
          <m:jc m:val="center"/>
        </m:oMathParaPr>
        <m:oMath>
          <m:r>
            <w:rPr>
              <w:rFonts w:ascii="Cambria Math" w:hAnsi="Cambria Math"/>
              <w:color w:val="000000" w:themeColor="text1"/>
              <w:sz w:val="22"/>
              <w:szCs w:val="22"/>
            </w:rPr>
            <m:t xml:space="preserve">f= </m:t>
          </m:r>
          <m:f>
            <m:fPr>
              <m:ctrlPr>
                <w:rPr>
                  <w:rFonts w:ascii="Cambria Math" w:hAnsi="Cambria Math"/>
                  <w:i/>
                  <w:color w:val="000000" w:themeColor="text1"/>
                  <w:sz w:val="22"/>
                  <w:szCs w:val="22"/>
                </w:rPr>
              </m:ctrlPr>
            </m:fPr>
            <m:num>
              <m:r>
                <w:rPr>
                  <w:rFonts w:ascii="Cambria Math" w:hAnsi="Cambria Math"/>
                  <w:color w:val="000000" w:themeColor="text1"/>
                  <w:sz w:val="22"/>
                  <w:szCs w:val="22"/>
                </w:rPr>
                <m:t>28,439</m:t>
              </m:r>
            </m:num>
            <m:den>
              <m:r>
                <w:rPr>
                  <w:rFonts w:ascii="Cambria Math" w:hAnsi="Cambria Math"/>
                  <w:color w:val="000000" w:themeColor="text1"/>
                  <w:sz w:val="22"/>
                  <w:szCs w:val="22"/>
                </w:rPr>
                <m:t>22,321</m:t>
              </m:r>
            </m:den>
          </m:f>
        </m:oMath>
      </m:oMathPara>
    </w:p>
    <w:p w14:paraId="550F6845" w14:textId="48781ABD" w:rsidR="00BE3CB8" w:rsidRPr="00BE3CB8" w:rsidRDefault="00BE3CB8" w:rsidP="00BE3CB8">
      <w:pPr>
        <w:spacing w:line="276" w:lineRule="auto"/>
        <w:jc w:val="both"/>
        <w:rPr>
          <w:rFonts w:ascii="Cambria" w:hAnsi="Cambria"/>
          <w:color w:val="000000" w:themeColor="text1"/>
          <w:sz w:val="22"/>
          <w:szCs w:val="22"/>
        </w:rPr>
      </w:pPr>
      <m:oMathPara>
        <m:oMathParaPr>
          <m:jc m:val="center"/>
        </m:oMathParaPr>
        <m:oMath>
          <m:r>
            <w:rPr>
              <w:rFonts w:ascii="Cambria Math" w:hAnsi="Cambria Math"/>
              <w:color w:val="000000" w:themeColor="text1"/>
              <w:sz w:val="22"/>
              <w:szCs w:val="22"/>
            </w:rPr>
            <m:t>f=1,27</m:t>
          </m:r>
        </m:oMath>
      </m:oMathPara>
    </w:p>
    <w:p w14:paraId="4B1FF0E3" w14:textId="77777777" w:rsidR="00BE3CB8" w:rsidRPr="00BE3CB8" w:rsidRDefault="00BE3CB8" w:rsidP="00BE3CB8">
      <w:pPr>
        <w:spacing w:line="276" w:lineRule="auto"/>
        <w:jc w:val="both"/>
        <w:rPr>
          <w:rFonts w:ascii="Cambria" w:hAnsi="Cambria"/>
          <w:color w:val="000000" w:themeColor="text1"/>
          <w:sz w:val="22"/>
          <w:szCs w:val="22"/>
          <w:lang w:val="en-US"/>
        </w:rPr>
      </w:pPr>
    </w:p>
    <w:p w14:paraId="23691BCB" w14:textId="7484DCB1" w:rsidR="00BE3CB8" w:rsidRPr="00BE3CB8" w:rsidRDefault="00BE3CB8" w:rsidP="00BE3CB8">
      <w:pPr>
        <w:pStyle w:val="92ParagrafKedua"/>
      </w:pPr>
      <w:r w:rsidRPr="00BE3CB8">
        <w:lastRenderedPageBreak/>
        <w:t xml:space="preserve">In significant level </w:t>
      </w:r>
      <m:oMath>
        <m:r>
          <w:rPr>
            <w:rFonts w:ascii="Cambria Math" w:hAnsi="Cambria Math"/>
          </w:rPr>
          <m:t>(α=0,05)</m:t>
        </m:r>
      </m:oMath>
      <w:r w:rsidRPr="00BE3CB8">
        <w:t xml:space="preserve">, it showed that </w:t>
      </w:r>
      <w:r w:rsidRPr="00BE3CB8">
        <w:rPr>
          <w:i/>
          <w:iCs/>
        </w:rPr>
        <w:t>F</w:t>
      </w:r>
      <w:r w:rsidRPr="00BE3CB8">
        <w:rPr>
          <w:vertAlign w:val="subscript"/>
        </w:rPr>
        <w:t xml:space="preserve">0,05 (28.28) </w:t>
      </w:r>
      <w:r w:rsidRPr="00BE3CB8">
        <w:t xml:space="preserve">= 1,87 because </w:t>
      </w:r>
      <w:proofErr w:type="spellStart"/>
      <w:r w:rsidRPr="00BE3CB8">
        <w:rPr>
          <w:i/>
          <w:iCs/>
        </w:rPr>
        <w:t>F</w:t>
      </w:r>
      <w:r w:rsidRPr="00BE3CB8">
        <w:rPr>
          <w:vertAlign w:val="subscript"/>
        </w:rPr>
        <w:t>score</w:t>
      </w:r>
      <w:proofErr w:type="spellEnd"/>
      <w:r w:rsidRPr="00BE3CB8">
        <w:rPr>
          <w:vertAlign w:val="subscript"/>
        </w:rPr>
        <w:t xml:space="preserve"> </w:t>
      </w:r>
      <w:r w:rsidRPr="00BE3CB8">
        <w:t xml:space="preserve">&lt; </w:t>
      </w:r>
      <w:proofErr w:type="spellStart"/>
      <w:r w:rsidRPr="00BE3CB8">
        <w:rPr>
          <w:i/>
          <w:iCs/>
        </w:rPr>
        <w:t>F</w:t>
      </w:r>
      <w:r w:rsidRPr="00BE3CB8">
        <w:rPr>
          <w:vertAlign w:val="subscript"/>
        </w:rPr>
        <w:t>table</w:t>
      </w:r>
      <w:proofErr w:type="spellEnd"/>
      <w:r w:rsidRPr="00BE3CB8">
        <w:rPr>
          <w:vertAlign w:val="subscript"/>
        </w:rPr>
        <w:t xml:space="preserve"> </w:t>
      </w:r>
      <w:r w:rsidRPr="00BE3CB8">
        <w:t>that is 1,27 &lt; 1,87. In other words, the result proved that both of the data was homogeneous.</w:t>
      </w:r>
    </w:p>
    <w:p w14:paraId="125C00BB" w14:textId="77777777" w:rsidR="00BE3CB8" w:rsidRPr="00BE3CB8" w:rsidRDefault="00BE3CB8" w:rsidP="00BE3CB8">
      <w:pPr>
        <w:spacing w:line="276" w:lineRule="auto"/>
        <w:jc w:val="both"/>
        <w:rPr>
          <w:rFonts w:ascii="Cambria" w:hAnsi="Cambria"/>
          <w:color w:val="000000" w:themeColor="text1"/>
          <w:sz w:val="22"/>
          <w:szCs w:val="22"/>
        </w:rPr>
      </w:pPr>
    </w:p>
    <w:p w14:paraId="6E94D26F" w14:textId="77777777" w:rsidR="00BE3CB8" w:rsidRPr="00BE3CB8" w:rsidRDefault="00BE3CB8" w:rsidP="005D317D">
      <w:pPr>
        <w:pStyle w:val="8SUBBAB2"/>
        <w:rPr>
          <w:lang w:val="en-US"/>
        </w:rPr>
      </w:pPr>
      <w:r w:rsidRPr="00BE3CB8">
        <w:t>Normality Test</w:t>
      </w:r>
    </w:p>
    <w:p w14:paraId="20411B43" w14:textId="6ED7A6F8" w:rsidR="00B030CD" w:rsidRDefault="00DE6562" w:rsidP="00C03B0B">
      <w:pPr>
        <w:pStyle w:val="92ParagrafKedua"/>
        <w:ind w:firstLine="0"/>
      </w:pPr>
      <w:r>
        <w:t>A normality test was conducted to assess the normality of the data obtained in this research</w:t>
      </w:r>
      <w:r w:rsidR="00BE3CB8" w:rsidRPr="00BE3CB8">
        <w:t xml:space="preserve"> to determine if the data followed a normal distribution or not. This involved analysing the experimental </w:t>
      </w:r>
      <w:r>
        <w:t>and control class post-test results</w:t>
      </w:r>
      <w:r w:rsidR="00BE3CB8" w:rsidRPr="00BE3CB8">
        <w:t xml:space="preserve"> by calculating the mean, variance, and standard deviation. The purpose of this was to ascertain whether the data met the assumptions of normality, which is necessary for conducting parametric statistical tests.</w:t>
      </w:r>
    </w:p>
    <w:p w14:paraId="5364483A" w14:textId="77777777" w:rsidR="00894711" w:rsidRPr="00894711" w:rsidRDefault="00894711" w:rsidP="00894711">
      <w:pPr>
        <w:pStyle w:val="94PenamaanTabel"/>
        <w:rPr>
          <w:lang w:val="en-US"/>
        </w:rPr>
      </w:pPr>
      <w:r w:rsidRPr="00894711">
        <w:rPr>
          <w:b/>
          <w:lang w:val="en-US"/>
        </w:rPr>
        <w:t xml:space="preserve">Table 1. </w:t>
      </w:r>
      <w:r w:rsidRPr="00894711">
        <w:rPr>
          <w:lang w:val="en-US"/>
        </w:rPr>
        <w:t>Mean, Variance, Standard Deviation of Experiment and Control</w:t>
      </w:r>
    </w:p>
    <w:tbl>
      <w:tblPr>
        <w:tblStyle w:val="TableGrid"/>
        <w:tblW w:w="0" w:type="auto"/>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1886"/>
        <w:gridCol w:w="2210"/>
        <w:gridCol w:w="2194"/>
        <w:gridCol w:w="2099"/>
      </w:tblGrid>
      <w:tr w:rsidR="00894711" w:rsidRPr="00894711" w14:paraId="5092ABC2" w14:textId="77777777" w:rsidTr="00E73401">
        <w:trPr>
          <w:trHeight w:val="382"/>
        </w:trPr>
        <w:tc>
          <w:tcPr>
            <w:tcW w:w="1336" w:type="dxa"/>
            <w:tcBorders>
              <w:bottom w:val="single" w:sz="4" w:space="0" w:color="auto"/>
            </w:tcBorders>
            <w:vAlign w:val="center"/>
          </w:tcPr>
          <w:p w14:paraId="4933AB91" w14:textId="77777777" w:rsidR="00894711" w:rsidRPr="00894711" w:rsidRDefault="00894711" w:rsidP="00894711">
            <w:pPr>
              <w:pStyle w:val="92ParagrafKedua"/>
              <w:rPr>
                <w:b/>
                <w:bCs/>
              </w:rPr>
            </w:pPr>
            <w:r w:rsidRPr="00894711">
              <w:rPr>
                <w:b/>
                <w:bCs/>
              </w:rPr>
              <w:t>Class</w:t>
            </w:r>
          </w:p>
        </w:tc>
        <w:tc>
          <w:tcPr>
            <w:tcW w:w="2320" w:type="dxa"/>
            <w:tcBorders>
              <w:bottom w:val="single" w:sz="4" w:space="0" w:color="auto"/>
            </w:tcBorders>
            <w:vAlign w:val="center"/>
          </w:tcPr>
          <w:p w14:paraId="5E49B2FD" w14:textId="67AE8B07" w:rsidR="00894711" w:rsidRPr="00894711" w:rsidRDefault="00894711" w:rsidP="00894711">
            <w:pPr>
              <w:pStyle w:val="92ParagrafKedua"/>
              <w:rPr>
                <w:b/>
                <w:bCs/>
              </w:rPr>
            </w:pPr>
            <w:r w:rsidRPr="00894711">
              <w:rPr>
                <w:b/>
                <w:bCs/>
              </w:rPr>
              <w:t>Mean</w:t>
            </w:r>
            <m:oMath>
              <m:r>
                <m:rPr>
                  <m:sty m:val="bi"/>
                </m:rPr>
                <w:rPr>
                  <w:rFonts w:ascii="Cambria Math" w:hAnsi="Cambria Math"/>
                </w:rPr>
                <m:t>(</m:t>
              </m:r>
              <m:acc>
                <m:accPr>
                  <m:chr m:val="̅"/>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oMath>
          </w:p>
        </w:tc>
        <w:tc>
          <w:tcPr>
            <w:tcW w:w="2214" w:type="dxa"/>
            <w:tcBorders>
              <w:bottom w:val="single" w:sz="4" w:space="0" w:color="auto"/>
            </w:tcBorders>
            <w:vAlign w:val="center"/>
          </w:tcPr>
          <w:p w14:paraId="4C648188" w14:textId="536DBC71" w:rsidR="00894711" w:rsidRPr="00894711" w:rsidRDefault="00894711" w:rsidP="00894711">
            <w:pPr>
              <w:pStyle w:val="92ParagrafKedua"/>
              <w:rPr>
                <w:b/>
                <w:bCs/>
              </w:rPr>
            </w:pPr>
            <w:r w:rsidRPr="00894711">
              <w:rPr>
                <w:b/>
                <w:bCs/>
              </w:rPr>
              <w:t>Variance</w:t>
            </w:r>
            <m:oMath>
              <m:sSup>
                <m:sSupPr>
                  <m:ctrlPr>
                    <w:rPr>
                      <w:rFonts w:ascii="Cambria Math" w:hAnsi="Cambria Math"/>
                      <w:b/>
                      <w:bCs/>
                      <w:i/>
                    </w:rPr>
                  </m:ctrlPr>
                </m:sSupPr>
                <m:e>
                  <m:r>
                    <m:rPr>
                      <m:sty m:val="bi"/>
                    </m:rPr>
                    <w:rPr>
                      <w:rFonts w:ascii="Cambria Math" w:hAnsi="Cambria Math"/>
                    </w:rPr>
                    <m:t>(S</m:t>
                  </m:r>
                </m:e>
                <m:sup>
                  <m:r>
                    <m:rPr>
                      <m:sty m:val="bi"/>
                    </m:rPr>
                    <w:rPr>
                      <w:rFonts w:ascii="Cambria Math" w:hAnsi="Cambria Math"/>
                    </w:rPr>
                    <m:t>2</m:t>
                  </m:r>
                </m:sup>
              </m:sSup>
              <m:r>
                <m:rPr>
                  <m:sty m:val="bi"/>
                </m:rPr>
                <w:rPr>
                  <w:rFonts w:ascii="Cambria Math" w:hAnsi="Cambria Math"/>
                </w:rPr>
                <m:t>)</m:t>
              </m:r>
            </m:oMath>
          </w:p>
        </w:tc>
        <w:tc>
          <w:tcPr>
            <w:tcW w:w="2175" w:type="dxa"/>
            <w:tcBorders>
              <w:bottom w:val="single" w:sz="4" w:space="0" w:color="auto"/>
            </w:tcBorders>
            <w:vAlign w:val="center"/>
          </w:tcPr>
          <w:p w14:paraId="46CA0E48" w14:textId="5DBEBC51" w:rsidR="00894711" w:rsidRPr="00894711" w:rsidRDefault="00894711" w:rsidP="00894711">
            <w:pPr>
              <w:pStyle w:val="92ParagrafKedua"/>
              <w:rPr>
                <w:b/>
                <w:bCs/>
              </w:rPr>
            </w:pPr>
            <w:r w:rsidRPr="00894711">
              <w:rPr>
                <w:b/>
                <w:bCs/>
              </w:rPr>
              <w:t>Standard Deviation</w:t>
            </w:r>
            <m:oMath>
              <m:r>
                <m:rPr>
                  <m:sty m:val="bi"/>
                </m:rPr>
                <w:rPr>
                  <w:rFonts w:ascii="Cambria Math" w:hAnsi="Cambria Math"/>
                </w:rPr>
                <m:t>(S)</m:t>
              </m:r>
            </m:oMath>
          </w:p>
        </w:tc>
      </w:tr>
      <w:tr w:rsidR="00894711" w:rsidRPr="00894711" w14:paraId="2435C1DB" w14:textId="77777777" w:rsidTr="00E73401">
        <w:trPr>
          <w:trHeight w:val="397"/>
        </w:trPr>
        <w:tc>
          <w:tcPr>
            <w:tcW w:w="1336" w:type="dxa"/>
            <w:tcBorders>
              <w:bottom w:val="nil"/>
            </w:tcBorders>
            <w:vAlign w:val="center"/>
          </w:tcPr>
          <w:p w14:paraId="25D415E2" w14:textId="77777777" w:rsidR="00894711" w:rsidRPr="00894711" w:rsidRDefault="00894711" w:rsidP="00894711">
            <w:pPr>
              <w:pStyle w:val="92ParagrafKedua"/>
            </w:pPr>
            <w:r w:rsidRPr="00894711">
              <w:t>Experiment</w:t>
            </w:r>
          </w:p>
        </w:tc>
        <w:tc>
          <w:tcPr>
            <w:tcW w:w="2320" w:type="dxa"/>
            <w:tcBorders>
              <w:bottom w:val="nil"/>
            </w:tcBorders>
            <w:vAlign w:val="center"/>
          </w:tcPr>
          <w:p w14:paraId="545841DD" w14:textId="77777777" w:rsidR="00894711" w:rsidRPr="00894711" w:rsidRDefault="00894711" w:rsidP="00894711">
            <w:pPr>
              <w:pStyle w:val="92ParagrafKedua"/>
            </w:pPr>
            <w:r w:rsidRPr="00894711">
              <w:t>78,39</w:t>
            </w:r>
          </w:p>
        </w:tc>
        <w:tc>
          <w:tcPr>
            <w:tcW w:w="2214" w:type="dxa"/>
            <w:tcBorders>
              <w:bottom w:val="nil"/>
            </w:tcBorders>
            <w:vAlign w:val="center"/>
          </w:tcPr>
          <w:p w14:paraId="58E38F0E" w14:textId="77777777" w:rsidR="00894711" w:rsidRPr="00894711" w:rsidRDefault="00894711" w:rsidP="00894711">
            <w:pPr>
              <w:pStyle w:val="92ParagrafKedua"/>
            </w:pPr>
            <w:r w:rsidRPr="00894711">
              <w:t>53,802</w:t>
            </w:r>
          </w:p>
        </w:tc>
        <w:tc>
          <w:tcPr>
            <w:tcW w:w="2175" w:type="dxa"/>
            <w:tcBorders>
              <w:bottom w:val="nil"/>
            </w:tcBorders>
            <w:vAlign w:val="center"/>
          </w:tcPr>
          <w:p w14:paraId="2CF3E8C6" w14:textId="77777777" w:rsidR="00894711" w:rsidRPr="00894711" w:rsidRDefault="00894711" w:rsidP="00894711">
            <w:pPr>
              <w:pStyle w:val="92ParagrafKedua"/>
            </w:pPr>
            <w:r w:rsidRPr="00894711">
              <w:t>7,33</w:t>
            </w:r>
          </w:p>
        </w:tc>
      </w:tr>
      <w:tr w:rsidR="00894711" w:rsidRPr="00894711" w14:paraId="4FAA9242" w14:textId="77777777" w:rsidTr="00E73401">
        <w:trPr>
          <w:trHeight w:val="397"/>
        </w:trPr>
        <w:tc>
          <w:tcPr>
            <w:tcW w:w="1336" w:type="dxa"/>
            <w:tcBorders>
              <w:top w:val="nil"/>
            </w:tcBorders>
            <w:vAlign w:val="center"/>
          </w:tcPr>
          <w:p w14:paraId="3D5AC4CD" w14:textId="77777777" w:rsidR="00894711" w:rsidRPr="00894711" w:rsidRDefault="00894711" w:rsidP="00894711">
            <w:pPr>
              <w:pStyle w:val="92ParagrafKedua"/>
            </w:pPr>
            <w:r w:rsidRPr="00894711">
              <w:t>Control</w:t>
            </w:r>
          </w:p>
        </w:tc>
        <w:tc>
          <w:tcPr>
            <w:tcW w:w="2320" w:type="dxa"/>
            <w:tcBorders>
              <w:top w:val="nil"/>
            </w:tcBorders>
            <w:vAlign w:val="center"/>
          </w:tcPr>
          <w:p w14:paraId="5E3CC8EF" w14:textId="77777777" w:rsidR="00894711" w:rsidRPr="00894711" w:rsidRDefault="00894711" w:rsidP="00894711">
            <w:pPr>
              <w:pStyle w:val="92ParagrafKedua"/>
            </w:pPr>
            <w:r w:rsidRPr="00894711">
              <w:t>71,01</w:t>
            </w:r>
          </w:p>
        </w:tc>
        <w:tc>
          <w:tcPr>
            <w:tcW w:w="2214" w:type="dxa"/>
            <w:tcBorders>
              <w:top w:val="nil"/>
            </w:tcBorders>
            <w:vAlign w:val="center"/>
          </w:tcPr>
          <w:p w14:paraId="5CF55835" w14:textId="77777777" w:rsidR="00894711" w:rsidRPr="00894711" w:rsidRDefault="00894711" w:rsidP="00894711">
            <w:pPr>
              <w:pStyle w:val="92ParagrafKedua"/>
            </w:pPr>
            <w:r w:rsidRPr="00894711">
              <w:t>28,439</w:t>
            </w:r>
          </w:p>
        </w:tc>
        <w:tc>
          <w:tcPr>
            <w:tcW w:w="2175" w:type="dxa"/>
            <w:tcBorders>
              <w:top w:val="nil"/>
            </w:tcBorders>
            <w:vAlign w:val="center"/>
          </w:tcPr>
          <w:p w14:paraId="4B45CBDC" w14:textId="77777777" w:rsidR="00894711" w:rsidRPr="00894711" w:rsidRDefault="00894711" w:rsidP="00894711">
            <w:pPr>
              <w:pStyle w:val="92ParagrafKedua"/>
            </w:pPr>
            <w:r w:rsidRPr="00894711">
              <w:t>5,33</w:t>
            </w:r>
          </w:p>
        </w:tc>
      </w:tr>
    </w:tbl>
    <w:p w14:paraId="37DA6DFF" w14:textId="77777777" w:rsidR="00883AE9" w:rsidRPr="00894711" w:rsidRDefault="00883AE9" w:rsidP="00C03B0B">
      <w:pPr>
        <w:pStyle w:val="92ParagrafKedua"/>
        <w:ind w:firstLine="0"/>
        <w:rPr>
          <w:b/>
          <w:bCs/>
        </w:rPr>
      </w:pPr>
    </w:p>
    <w:p w14:paraId="3D9D72CB" w14:textId="77777777" w:rsidR="00894711" w:rsidRPr="00894711" w:rsidRDefault="00894711" w:rsidP="00894711">
      <w:pPr>
        <w:pStyle w:val="94PenamaanTabel"/>
        <w:rPr>
          <w:b/>
        </w:rPr>
      </w:pPr>
      <w:r w:rsidRPr="00894711">
        <w:rPr>
          <w:b/>
          <w:lang w:val="en-US"/>
        </w:rPr>
        <w:t xml:space="preserve">Table 2. </w:t>
      </w:r>
      <w:r w:rsidRPr="00894711">
        <w:t>Normality Result of Post-test Experimental Class</w:t>
      </w:r>
    </w:p>
    <w:tbl>
      <w:tblPr>
        <w:tblStyle w:val="TableGrid1"/>
        <w:tblW w:w="0" w:type="auto"/>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763"/>
        <w:gridCol w:w="839"/>
        <w:gridCol w:w="1098"/>
        <w:gridCol w:w="1659"/>
        <w:gridCol w:w="1614"/>
        <w:gridCol w:w="1930"/>
      </w:tblGrid>
      <w:tr w:rsidR="00894711" w:rsidRPr="00894711" w14:paraId="388DA669" w14:textId="77777777" w:rsidTr="00E73401">
        <w:trPr>
          <w:trHeight w:val="397"/>
          <w:tblHeader/>
        </w:trPr>
        <w:tc>
          <w:tcPr>
            <w:tcW w:w="763" w:type="dxa"/>
            <w:tcBorders>
              <w:bottom w:val="single" w:sz="4" w:space="0" w:color="auto"/>
            </w:tcBorders>
            <w:vAlign w:val="center"/>
          </w:tcPr>
          <w:p w14:paraId="1F8D9C77" w14:textId="77777777" w:rsidR="00894711" w:rsidRPr="00894711" w:rsidRDefault="00894711" w:rsidP="00894711">
            <w:pPr>
              <w:jc w:val="center"/>
              <w:rPr>
                <w:rFonts w:ascii="Cambria" w:hAnsi="Cambria" w:cstheme="majorBidi"/>
                <w:b/>
                <w:bCs/>
              </w:rPr>
            </w:pPr>
            <w:r w:rsidRPr="00894711">
              <w:rPr>
                <w:rFonts w:ascii="Cambria" w:hAnsi="Cambria" w:cstheme="majorBidi"/>
                <w:b/>
                <w:bCs/>
              </w:rPr>
              <w:t>No.</w:t>
            </w:r>
          </w:p>
        </w:tc>
        <w:tc>
          <w:tcPr>
            <w:tcW w:w="839" w:type="dxa"/>
            <w:tcBorders>
              <w:bottom w:val="single" w:sz="4" w:space="0" w:color="auto"/>
            </w:tcBorders>
            <w:vAlign w:val="center"/>
          </w:tcPr>
          <w:p w14:paraId="16B83E73" w14:textId="77777777" w:rsidR="00894711" w:rsidRPr="00894711" w:rsidRDefault="00894711" w:rsidP="00894711">
            <w:pPr>
              <w:jc w:val="center"/>
              <w:rPr>
                <w:rFonts w:ascii="Cambria" w:hAnsi="Cambria" w:cstheme="majorBidi"/>
                <w:b/>
                <w:bCs/>
              </w:rPr>
            </w:pPr>
            <w:r w:rsidRPr="00894711">
              <w:rPr>
                <w:rFonts w:ascii="Cambria" w:hAnsi="Cambria" w:cstheme="majorBidi"/>
                <w:b/>
                <w:bCs/>
              </w:rPr>
              <w:t>Xi</w:t>
            </w:r>
          </w:p>
        </w:tc>
        <w:tc>
          <w:tcPr>
            <w:tcW w:w="1098" w:type="dxa"/>
            <w:tcBorders>
              <w:bottom w:val="single" w:sz="4" w:space="0" w:color="auto"/>
            </w:tcBorders>
            <w:vAlign w:val="center"/>
          </w:tcPr>
          <w:p w14:paraId="3540849D" w14:textId="77777777" w:rsidR="00894711" w:rsidRPr="00894711" w:rsidRDefault="00894711" w:rsidP="00894711">
            <w:pPr>
              <w:jc w:val="center"/>
              <w:rPr>
                <w:rFonts w:ascii="Cambria" w:hAnsi="Cambria" w:cstheme="majorBidi"/>
                <w:b/>
                <w:bCs/>
              </w:rPr>
            </w:pPr>
            <w:r w:rsidRPr="00894711">
              <w:rPr>
                <w:rFonts w:ascii="Cambria" w:hAnsi="Cambria" w:cstheme="majorBidi"/>
                <w:b/>
                <w:bCs/>
              </w:rPr>
              <w:t>Zi</w:t>
            </w:r>
          </w:p>
        </w:tc>
        <w:tc>
          <w:tcPr>
            <w:tcW w:w="1659" w:type="dxa"/>
            <w:tcBorders>
              <w:bottom w:val="single" w:sz="4" w:space="0" w:color="auto"/>
            </w:tcBorders>
            <w:vAlign w:val="center"/>
          </w:tcPr>
          <w:p w14:paraId="072C55C7" w14:textId="77777777" w:rsidR="00894711" w:rsidRPr="00894711" w:rsidRDefault="00894711" w:rsidP="00894711">
            <w:pPr>
              <w:jc w:val="center"/>
              <w:rPr>
                <w:rFonts w:ascii="Cambria" w:hAnsi="Cambria" w:cstheme="majorBidi"/>
                <w:b/>
                <w:bCs/>
              </w:rPr>
            </w:pPr>
            <w:r w:rsidRPr="00894711">
              <w:rPr>
                <w:rFonts w:ascii="Cambria" w:hAnsi="Cambria" w:cstheme="majorBidi"/>
                <w:b/>
                <w:bCs/>
              </w:rPr>
              <w:t>F(zi)</w:t>
            </w:r>
          </w:p>
        </w:tc>
        <w:tc>
          <w:tcPr>
            <w:tcW w:w="1614" w:type="dxa"/>
            <w:tcBorders>
              <w:bottom w:val="single" w:sz="4" w:space="0" w:color="auto"/>
            </w:tcBorders>
            <w:vAlign w:val="center"/>
          </w:tcPr>
          <w:p w14:paraId="4AE3657F" w14:textId="77777777" w:rsidR="00894711" w:rsidRPr="00894711" w:rsidRDefault="00894711" w:rsidP="00894711">
            <w:pPr>
              <w:jc w:val="center"/>
              <w:rPr>
                <w:rFonts w:ascii="Cambria" w:hAnsi="Cambria" w:cstheme="majorBidi"/>
                <w:b/>
                <w:bCs/>
              </w:rPr>
            </w:pPr>
            <w:r w:rsidRPr="00894711">
              <w:rPr>
                <w:rFonts w:ascii="Cambria" w:hAnsi="Cambria" w:cstheme="majorBidi"/>
                <w:b/>
                <w:bCs/>
              </w:rPr>
              <w:t>S(zi)</w:t>
            </w:r>
          </w:p>
        </w:tc>
        <w:tc>
          <w:tcPr>
            <w:tcW w:w="1930" w:type="dxa"/>
            <w:tcBorders>
              <w:bottom w:val="single" w:sz="4" w:space="0" w:color="auto"/>
            </w:tcBorders>
            <w:vAlign w:val="center"/>
          </w:tcPr>
          <w:p w14:paraId="10B98771" w14:textId="77777777" w:rsidR="00894711" w:rsidRPr="00894711" w:rsidRDefault="00894711" w:rsidP="00894711">
            <w:pPr>
              <w:jc w:val="center"/>
              <w:rPr>
                <w:rFonts w:ascii="Cambria" w:hAnsi="Cambria" w:cstheme="majorBidi"/>
                <w:b/>
                <w:bCs/>
              </w:rPr>
            </w:pPr>
            <w:r w:rsidRPr="00894711">
              <w:rPr>
                <w:rFonts w:ascii="Cambria" w:hAnsi="Cambria" w:cstheme="majorBidi"/>
                <w:b/>
                <w:bCs/>
              </w:rPr>
              <w:t>|F(zi)-S(zi)|</w:t>
            </w:r>
          </w:p>
        </w:tc>
      </w:tr>
      <w:tr w:rsidR="00894711" w:rsidRPr="00894711" w14:paraId="3DCDC6A8" w14:textId="77777777" w:rsidTr="00E73401">
        <w:trPr>
          <w:trHeight w:val="340"/>
        </w:trPr>
        <w:tc>
          <w:tcPr>
            <w:tcW w:w="763" w:type="dxa"/>
            <w:tcBorders>
              <w:bottom w:val="nil"/>
            </w:tcBorders>
            <w:vAlign w:val="center"/>
          </w:tcPr>
          <w:p w14:paraId="2D35D201" w14:textId="77777777" w:rsidR="00894711" w:rsidRPr="00894711" w:rsidRDefault="00894711" w:rsidP="00894711">
            <w:pPr>
              <w:jc w:val="center"/>
              <w:rPr>
                <w:rFonts w:ascii="Cambria" w:hAnsi="Cambria" w:cstheme="majorBidi"/>
              </w:rPr>
            </w:pPr>
            <w:r w:rsidRPr="00894711">
              <w:rPr>
                <w:rFonts w:ascii="Cambria" w:hAnsi="Cambria" w:cstheme="majorBidi"/>
              </w:rPr>
              <w:t>1.</w:t>
            </w:r>
          </w:p>
        </w:tc>
        <w:tc>
          <w:tcPr>
            <w:tcW w:w="839" w:type="dxa"/>
            <w:tcBorders>
              <w:bottom w:val="nil"/>
            </w:tcBorders>
            <w:vAlign w:val="center"/>
          </w:tcPr>
          <w:p w14:paraId="04C62B43"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65</w:t>
            </w:r>
          </w:p>
        </w:tc>
        <w:tc>
          <w:tcPr>
            <w:tcW w:w="1098" w:type="dxa"/>
            <w:tcBorders>
              <w:bottom w:val="nil"/>
            </w:tcBorders>
            <w:vAlign w:val="center"/>
          </w:tcPr>
          <w:p w14:paraId="417653F9" w14:textId="77777777" w:rsidR="00894711" w:rsidRPr="00894711" w:rsidRDefault="00894711" w:rsidP="00894711">
            <w:pPr>
              <w:jc w:val="center"/>
              <w:rPr>
                <w:rFonts w:ascii="Cambria" w:hAnsi="Cambria" w:cstheme="majorBidi"/>
              </w:rPr>
            </w:pPr>
            <w:r w:rsidRPr="00894711">
              <w:rPr>
                <w:rFonts w:ascii="Cambria" w:hAnsi="Cambria" w:cstheme="majorBidi"/>
              </w:rPr>
              <w:t>-1,82</w:t>
            </w:r>
          </w:p>
        </w:tc>
        <w:tc>
          <w:tcPr>
            <w:tcW w:w="1659" w:type="dxa"/>
            <w:tcBorders>
              <w:bottom w:val="nil"/>
            </w:tcBorders>
            <w:vAlign w:val="center"/>
          </w:tcPr>
          <w:p w14:paraId="73805EDB" w14:textId="77777777" w:rsidR="00894711" w:rsidRPr="00894711" w:rsidRDefault="00894711" w:rsidP="00894711">
            <w:pPr>
              <w:jc w:val="center"/>
              <w:rPr>
                <w:rFonts w:ascii="Cambria" w:hAnsi="Cambria" w:cstheme="majorBidi"/>
              </w:rPr>
            </w:pPr>
            <w:r w:rsidRPr="00894711">
              <w:rPr>
                <w:rFonts w:ascii="Cambria" w:hAnsi="Cambria" w:cstheme="majorBidi"/>
              </w:rPr>
              <w:t>0,03384</w:t>
            </w:r>
          </w:p>
        </w:tc>
        <w:tc>
          <w:tcPr>
            <w:tcW w:w="1614" w:type="dxa"/>
            <w:tcBorders>
              <w:bottom w:val="nil"/>
            </w:tcBorders>
            <w:vAlign w:val="center"/>
          </w:tcPr>
          <w:p w14:paraId="1EC3EAE0" w14:textId="77777777" w:rsidR="00894711" w:rsidRPr="00894711" w:rsidRDefault="00894711" w:rsidP="00894711">
            <w:pPr>
              <w:jc w:val="center"/>
              <w:rPr>
                <w:rFonts w:ascii="Cambria" w:hAnsi="Cambria" w:cstheme="majorBidi"/>
              </w:rPr>
            </w:pPr>
            <w:r w:rsidRPr="00894711">
              <w:rPr>
                <w:rFonts w:ascii="Cambria" w:hAnsi="Cambria" w:cstheme="majorBidi"/>
              </w:rPr>
              <w:t>0,107143</w:t>
            </w:r>
          </w:p>
        </w:tc>
        <w:tc>
          <w:tcPr>
            <w:tcW w:w="1930" w:type="dxa"/>
            <w:tcBorders>
              <w:bottom w:val="nil"/>
            </w:tcBorders>
            <w:vAlign w:val="center"/>
          </w:tcPr>
          <w:p w14:paraId="5D165BD4" w14:textId="77777777" w:rsidR="00894711" w:rsidRPr="00894711" w:rsidRDefault="00894711" w:rsidP="00894711">
            <w:pPr>
              <w:jc w:val="center"/>
              <w:rPr>
                <w:rFonts w:ascii="Cambria" w:hAnsi="Cambria" w:cstheme="majorBidi"/>
              </w:rPr>
            </w:pPr>
            <w:r w:rsidRPr="00894711">
              <w:rPr>
                <w:rFonts w:ascii="Cambria" w:hAnsi="Cambria" w:cstheme="majorBidi"/>
              </w:rPr>
              <w:t>0,0733027</w:t>
            </w:r>
          </w:p>
        </w:tc>
      </w:tr>
      <w:tr w:rsidR="00894711" w:rsidRPr="00894711" w14:paraId="723A9AEB" w14:textId="77777777" w:rsidTr="00E73401">
        <w:trPr>
          <w:trHeight w:val="340"/>
        </w:trPr>
        <w:tc>
          <w:tcPr>
            <w:tcW w:w="763" w:type="dxa"/>
            <w:tcBorders>
              <w:top w:val="nil"/>
              <w:bottom w:val="nil"/>
            </w:tcBorders>
            <w:vAlign w:val="center"/>
          </w:tcPr>
          <w:p w14:paraId="1A4AF16D" w14:textId="77777777" w:rsidR="00894711" w:rsidRPr="00894711" w:rsidRDefault="00894711" w:rsidP="00894711">
            <w:pPr>
              <w:jc w:val="center"/>
              <w:rPr>
                <w:rFonts w:ascii="Cambria" w:hAnsi="Cambria" w:cstheme="majorBidi"/>
              </w:rPr>
            </w:pPr>
            <w:r w:rsidRPr="00894711">
              <w:rPr>
                <w:rFonts w:ascii="Cambria" w:hAnsi="Cambria" w:cstheme="majorBidi"/>
              </w:rPr>
              <w:t>2.</w:t>
            </w:r>
          </w:p>
        </w:tc>
        <w:tc>
          <w:tcPr>
            <w:tcW w:w="839" w:type="dxa"/>
            <w:tcBorders>
              <w:top w:val="nil"/>
              <w:bottom w:val="nil"/>
            </w:tcBorders>
            <w:vAlign w:val="center"/>
          </w:tcPr>
          <w:p w14:paraId="481CA6A2"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65</w:t>
            </w:r>
          </w:p>
        </w:tc>
        <w:tc>
          <w:tcPr>
            <w:tcW w:w="1098" w:type="dxa"/>
            <w:tcBorders>
              <w:top w:val="nil"/>
              <w:bottom w:val="nil"/>
            </w:tcBorders>
            <w:vAlign w:val="center"/>
          </w:tcPr>
          <w:p w14:paraId="0E316BFF" w14:textId="77777777" w:rsidR="00894711" w:rsidRPr="00894711" w:rsidRDefault="00894711" w:rsidP="00894711">
            <w:pPr>
              <w:jc w:val="center"/>
              <w:rPr>
                <w:rFonts w:ascii="Cambria" w:hAnsi="Cambria" w:cstheme="majorBidi"/>
              </w:rPr>
            </w:pPr>
            <w:r w:rsidRPr="00894711">
              <w:rPr>
                <w:rFonts w:ascii="Cambria" w:hAnsi="Cambria" w:cstheme="majorBidi"/>
              </w:rPr>
              <w:t>-1,82</w:t>
            </w:r>
          </w:p>
        </w:tc>
        <w:tc>
          <w:tcPr>
            <w:tcW w:w="1659" w:type="dxa"/>
            <w:tcBorders>
              <w:top w:val="nil"/>
              <w:bottom w:val="nil"/>
            </w:tcBorders>
            <w:vAlign w:val="center"/>
          </w:tcPr>
          <w:p w14:paraId="1908D2A2" w14:textId="77777777" w:rsidR="00894711" w:rsidRPr="00894711" w:rsidRDefault="00894711" w:rsidP="00894711">
            <w:pPr>
              <w:jc w:val="center"/>
              <w:rPr>
                <w:rFonts w:ascii="Cambria" w:hAnsi="Cambria" w:cstheme="majorBidi"/>
              </w:rPr>
            </w:pPr>
            <w:r w:rsidRPr="00894711">
              <w:rPr>
                <w:rFonts w:ascii="Cambria" w:hAnsi="Cambria" w:cstheme="majorBidi"/>
              </w:rPr>
              <w:t>0,03384</w:t>
            </w:r>
          </w:p>
        </w:tc>
        <w:tc>
          <w:tcPr>
            <w:tcW w:w="1614" w:type="dxa"/>
            <w:tcBorders>
              <w:top w:val="nil"/>
              <w:bottom w:val="nil"/>
            </w:tcBorders>
            <w:vAlign w:val="center"/>
          </w:tcPr>
          <w:p w14:paraId="02853EC9" w14:textId="77777777" w:rsidR="00894711" w:rsidRPr="00894711" w:rsidRDefault="00894711" w:rsidP="00894711">
            <w:pPr>
              <w:jc w:val="center"/>
              <w:rPr>
                <w:rFonts w:ascii="Cambria" w:hAnsi="Cambria" w:cstheme="majorBidi"/>
              </w:rPr>
            </w:pPr>
            <w:r w:rsidRPr="00894711">
              <w:rPr>
                <w:rFonts w:ascii="Cambria" w:hAnsi="Cambria" w:cstheme="majorBidi"/>
              </w:rPr>
              <w:t>0,107143</w:t>
            </w:r>
          </w:p>
        </w:tc>
        <w:tc>
          <w:tcPr>
            <w:tcW w:w="1930" w:type="dxa"/>
            <w:tcBorders>
              <w:top w:val="nil"/>
              <w:bottom w:val="nil"/>
            </w:tcBorders>
            <w:vAlign w:val="center"/>
          </w:tcPr>
          <w:p w14:paraId="4CC665C2" w14:textId="77777777" w:rsidR="00894711" w:rsidRPr="00894711" w:rsidRDefault="00894711" w:rsidP="00894711">
            <w:pPr>
              <w:jc w:val="center"/>
              <w:rPr>
                <w:rFonts w:ascii="Cambria" w:hAnsi="Cambria" w:cstheme="majorBidi"/>
              </w:rPr>
            </w:pPr>
            <w:r w:rsidRPr="00894711">
              <w:rPr>
                <w:rFonts w:ascii="Cambria" w:hAnsi="Cambria" w:cstheme="majorBidi"/>
              </w:rPr>
              <w:t>0,0733027</w:t>
            </w:r>
          </w:p>
        </w:tc>
      </w:tr>
      <w:tr w:rsidR="00894711" w:rsidRPr="00894711" w14:paraId="7123E893" w14:textId="77777777" w:rsidTr="00E73401">
        <w:trPr>
          <w:trHeight w:val="340"/>
        </w:trPr>
        <w:tc>
          <w:tcPr>
            <w:tcW w:w="763" w:type="dxa"/>
            <w:tcBorders>
              <w:top w:val="nil"/>
              <w:bottom w:val="nil"/>
            </w:tcBorders>
            <w:vAlign w:val="center"/>
          </w:tcPr>
          <w:p w14:paraId="4D56193D" w14:textId="77777777" w:rsidR="00894711" w:rsidRPr="00894711" w:rsidRDefault="00894711" w:rsidP="00894711">
            <w:pPr>
              <w:jc w:val="center"/>
              <w:rPr>
                <w:rFonts w:ascii="Cambria" w:hAnsi="Cambria" w:cstheme="majorBidi"/>
              </w:rPr>
            </w:pPr>
            <w:r w:rsidRPr="00894711">
              <w:rPr>
                <w:rFonts w:ascii="Cambria" w:hAnsi="Cambria" w:cstheme="majorBidi"/>
              </w:rPr>
              <w:t>3.</w:t>
            </w:r>
          </w:p>
        </w:tc>
        <w:tc>
          <w:tcPr>
            <w:tcW w:w="839" w:type="dxa"/>
            <w:tcBorders>
              <w:top w:val="nil"/>
              <w:bottom w:val="nil"/>
            </w:tcBorders>
            <w:vAlign w:val="center"/>
          </w:tcPr>
          <w:p w14:paraId="7B131A57"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65</w:t>
            </w:r>
          </w:p>
        </w:tc>
        <w:tc>
          <w:tcPr>
            <w:tcW w:w="1098" w:type="dxa"/>
            <w:tcBorders>
              <w:top w:val="nil"/>
              <w:bottom w:val="nil"/>
            </w:tcBorders>
            <w:vAlign w:val="center"/>
          </w:tcPr>
          <w:p w14:paraId="26E66C00" w14:textId="77777777" w:rsidR="00894711" w:rsidRPr="00894711" w:rsidRDefault="00894711" w:rsidP="00894711">
            <w:pPr>
              <w:jc w:val="center"/>
              <w:rPr>
                <w:rFonts w:ascii="Cambria" w:hAnsi="Cambria" w:cstheme="majorBidi"/>
              </w:rPr>
            </w:pPr>
            <w:r w:rsidRPr="00894711">
              <w:rPr>
                <w:rFonts w:ascii="Cambria" w:hAnsi="Cambria" w:cstheme="majorBidi"/>
              </w:rPr>
              <w:t>-1,82</w:t>
            </w:r>
          </w:p>
        </w:tc>
        <w:tc>
          <w:tcPr>
            <w:tcW w:w="1659" w:type="dxa"/>
            <w:tcBorders>
              <w:top w:val="nil"/>
              <w:bottom w:val="nil"/>
            </w:tcBorders>
            <w:vAlign w:val="center"/>
          </w:tcPr>
          <w:p w14:paraId="70CA0128" w14:textId="77777777" w:rsidR="00894711" w:rsidRPr="00894711" w:rsidRDefault="00894711" w:rsidP="00894711">
            <w:pPr>
              <w:jc w:val="center"/>
              <w:rPr>
                <w:rFonts w:ascii="Cambria" w:hAnsi="Cambria" w:cstheme="majorBidi"/>
              </w:rPr>
            </w:pPr>
            <w:r w:rsidRPr="00894711">
              <w:rPr>
                <w:rFonts w:ascii="Cambria" w:hAnsi="Cambria" w:cstheme="majorBidi"/>
              </w:rPr>
              <w:t>0,03384</w:t>
            </w:r>
          </w:p>
        </w:tc>
        <w:tc>
          <w:tcPr>
            <w:tcW w:w="1614" w:type="dxa"/>
            <w:tcBorders>
              <w:top w:val="nil"/>
              <w:bottom w:val="nil"/>
            </w:tcBorders>
            <w:vAlign w:val="center"/>
          </w:tcPr>
          <w:p w14:paraId="109B4E79" w14:textId="77777777" w:rsidR="00894711" w:rsidRPr="00894711" w:rsidRDefault="00894711" w:rsidP="00894711">
            <w:pPr>
              <w:jc w:val="center"/>
              <w:rPr>
                <w:rFonts w:ascii="Cambria" w:hAnsi="Cambria" w:cstheme="majorBidi"/>
              </w:rPr>
            </w:pPr>
            <w:r w:rsidRPr="00894711">
              <w:rPr>
                <w:rFonts w:ascii="Cambria" w:hAnsi="Cambria" w:cstheme="majorBidi"/>
              </w:rPr>
              <w:t>0,107143</w:t>
            </w:r>
          </w:p>
        </w:tc>
        <w:tc>
          <w:tcPr>
            <w:tcW w:w="1930" w:type="dxa"/>
            <w:tcBorders>
              <w:top w:val="nil"/>
              <w:bottom w:val="nil"/>
            </w:tcBorders>
            <w:vAlign w:val="center"/>
          </w:tcPr>
          <w:p w14:paraId="311E4403" w14:textId="77777777" w:rsidR="00894711" w:rsidRPr="00894711" w:rsidRDefault="00894711" w:rsidP="00894711">
            <w:pPr>
              <w:jc w:val="center"/>
              <w:rPr>
                <w:rFonts w:ascii="Cambria" w:hAnsi="Cambria" w:cstheme="majorBidi"/>
              </w:rPr>
            </w:pPr>
            <w:r w:rsidRPr="00894711">
              <w:rPr>
                <w:rFonts w:ascii="Cambria" w:hAnsi="Cambria" w:cstheme="majorBidi"/>
              </w:rPr>
              <w:t>0,0733027</w:t>
            </w:r>
          </w:p>
        </w:tc>
      </w:tr>
      <w:tr w:rsidR="00894711" w:rsidRPr="00894711" w14:paraId="50AD6DD4" w14:textId="77777777" w:rsidTr="00E73401">
        <w:trPr>
          <w:trHeight w:val="340"/>
        </w:trPr>
        <w:tc>
          <w:tcPr>
            <w:tcW w:w="763" w:type="dxa"/>
            <w:tcBorders>
              <w:top w:val="nil"/>
              <w:bottom w:val="nil"/>
            </w:tcBorders>
            <w:vAlign w:val="center"/>
          </w:tcPr>
          <w:p w14:paraId="099E462B" w14:textId="77777777" w:rsidR="00894711" w:rsidRPr="00894711" w:rsidRDefault="00894711" w:rsidP="00894711">
            <w:pPr>
              <w:jc w:val="center"/>
              <w:rPr>
                <w:rFonts w:ascii="Cambria" w:hAnsi="Cambria" w:cstheme="majorBidi"/>
              </w:rPr>
            </w:pPr>
            <w:r w:rsidRPr="00894711">
              <w:rPr>
                <w:rFonts w:ascii="Cambria" w:hAnsi="Cambria" w:cstheme="majorBidi"/>
              </w:rPr>
              <w:t>4.</w:t>
            </w:r>
          </w:p>
        </w:tc>
        <w:tc>
          <w:tcPr>
            <w:tcW w:w="839" w:type="dxa"/>
            <w:tcBorders>
              <w:top w:val="nil"/>
              <w:bottom w:val="nil"/>
            </w:tcBorders>
            <w:vAlign w:val="center"/>
          </w:tcPr>
          <w:p w14:paraId="17F68F5A"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70</w:t>
            </w:r>
          </w:p>
        </w:tc>
        <w:tc>
          <w:tcPr>
            <w:tcW w:w="1098" w:type="dxa"/>
            <w:tcBorders>
              <w:top w:val="nil"/>
              <w:bottom w:val="nil"/>
            </w:tcBorders>
            <w:vAlign w:val="center"/>
          </w:tcPr>
          <w:p w14:paraId="68E63E38" w14:textId="77777777" w:rsidR="00894711" w:rsidRPr="00894711" w:rsidRDefault="00894711" w:rsidP="00894711">
            <w:pPr>
              <w:jc w:val="center"/>
              <w:rPr>
                <w:rFonts w:ascii="Cambria" w:hAnsi="Cambria" w:cstheme="majorBidi"/>
              </w:rPr>
            </w:pPr>
            <w:r w:rsidRPr="00894711">
              <w:rPr>
                <w:rFonts w:ascii="Cambria" w:hAnsi="Cambria" w:cstheme="majorBidi"/>
              </w:rPr>
              <w:t>-1,15</w:t>
            </w:r>
          </w:p>
        </w:tc>
        <w:tc>
          <w:tcPr>
            <w:tcW w:w="1659" w:type="dxa"/>
            <w:tcBorders>
              <w:top w:val="nil"/>
              <w:bottom w:val="nil"/>
            </w:tcBorders>
            <w:vAlign w:val="center"/>
          </w:tcPr>
          <w:p w14:paraId="63EDD1F8" w14:textId="77777777" w:rsidR="00894711" w:rsidRPr="00894711" w:rsidRDefault="00894711" w:rsidP="00894711">
            <w:pPr>
              <w:jc w:val="center"/>
              <w:rPr>
                <w:rFonts w:ascii="Cambria" w:hAnsi="Cambria" w:cstheme="majorBidi"/>
              </w:rPr>
            </w:pPr>
            <w:r w:rsidRPr="00894711">
              <w:rPr>
                <w:rFonts w:ascii="Cambria" w:hAnsi="Cambria" w:cstheme="majorBidi"/>
              </w:rPr>
              <w:t>0,126104</w:t>
            </w:r>
          </w:p>
        </w:tc>
        <w:tc>
          <w:tcPr>
            <w:tcW w:w="1614" w:type="dxa"/>
            <w:tcBorders>
              <w:top w:val="nil"/>
              <w:bottom w:val="nil"/>
            </w:tcBorders>
            <w:vAlign w:val="center"/>
          </w:tcPr>
          <w:p w14:paraId="359CF8F3" w14:textId="77777777" w:rsidR="00894711" w:rsidRPr="00894711" w:rsidRDefault="00894711" w:rsidP="00894711">
            <w:pPr>
              <w:jc w:val="center"/>
              <w:rPr>
                <w:rFonts w:ascii="Cambria" w:hAnsi="Cambria" w:cstheme="majorBidi"/>
              </w:rPr>
            </w:pPr>
            <w:r w:rsidRPr="00894711">
              <w:rPr>
                <w:rFonts w:ascii="Cambria" w:hAnsi="Cambria" w:cstheme="majorBidi"/>
              </w:rPr>
              <w:t>0,285714</w:t>
            </w:r>
          </w:p>
        </w:tc>
        <w:tc>
          <w:tcPr>
            <w:tcW w:w="1930" w:type="dxa"/>
            <w:tcBorders>
              <w:top w:val="nil"/>
              <w:bottom w:val="nil"/>
            </w:tcBorders>
            <w:vAlign w:val="center"/>
          </w:tcPr>
          <w:p w14:paraId="620764A8" w14:textId="77777777" w:rsidR="00894711" w:rsidRPr="00894711" w:rsidRDefault="00894711" w:rsidP="00894711">
            <w:pPr>
              <w:jc w:val="center"/>
              <w:rPr>
                <w:rFonts w:ascii="Cambria" w:hAnsi="Cambria" w:cstheme="majorBidi"/>
              </w:rPr>
            </w:pPr>
            <w:r w:rsidRPr="00894711">
              <w:rPr>
                <w:rFonts w:ascii="Cambria" w:hAnsi="Cambria" w:cstheme="majorBidi"/>
              </w:rPr>
              <w:t>0,1596099</w:t>
            </w:r>
          </w:p>
        </w:tc>
      </w:tr>
      <w:tr w:rsidR="00894711" w:rsidRPr="00894711" w14:paraId="4C34381D" w14:textId="77777777" w:rsidTr="00E73401">
        <w:trPr>
          <w:trHeight w:val="340"/>
        </w:trPr>
        <w:tc>
          <w:tcPr>
            <w:tcW w:w="763" w:type="dxa"/>
            <w:tcBorders>
              <w:top w:val="nil"/>
              <w:bottom w:val="nil"/>
            </w:tcBorders>
            <w:vAlign w:val="center"/>
          </w:tcPr>
          <w:p w14:paraId="285B2DF7" w14:textId="77777777" w:rsidR="00894711" w:rsidRPr="00894711" w:rsidRDefault="00894711" w:rsidP="00894711">
            <w:pPr>
              <w:jc w:val="center"/>
              <w:rPr>
                <w:rFonts w:ascii="Cambria" w:hAnsi="Cambria" w:cstheme="majorBidi"/>
              </w:rPr>
            </w:pPr>
            <w:r w:rsidRPr="00894711">
              <w:rPr>
                <w:rFonts w:ascii="Cambria" w:hAnsi="Cambria" w:cstheme="majorBidi"/>
              </w:rPr>
              <w:t>5.</w:t>
            </w:r>
          </w:p>
        </w:tc>
        <w:tc>
          <w:tcPr>
            <w:tcW w:w="839" w:type="dxa"/>
            <w:tcBorders>
              <w:top w:val="nil"/>
              <w:bottom w:val="nil"/>
            </w:tcBorders>
            <w:vAlign w:val="center"/>
          </w:tcPr>
          <w:p w14:paraId="4CFF2F4D"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70</w:t>
            </w:r>
          </w:p>
        </w:tc>
        <w:tc>
          <w:tcPr>
            <w:tcW w:w="1098" w:type="dxa"/>
            <w:tcBorders>
              <w:top w:val="nil"/>
              <w:bottom w:val="nil"/>
            </w:tcBorders>
            <w:vAlign w:val="center"/>
          </w:tcPr>
          <w:p w14:paraId="74C67D41" w14:textId="77777777" w:rsidR="00894711" w:rsidRPr="00894711" w:rsidRDefault="00894711" w:rsidP="00894711">
            <w:pPr>
              <w:jc w:val="center"/>
              <w:rPr>
                <w:rFonts w:ascii="Cambria" w:hAnsi="Cambria" w:cstheme="majorBidi"/>
              </w:rPr>
            </w:pPr>
            <w:r w:rsidRPr="00894711">
              <w:rPr>
                <w:rFonts w:ascii="Cambria" w:hAnsi="Cambria" w:cstheme="majorBidi"/>
              </w:rPr>
              <w:t>-1,15</w:t>
            </w:r>
          </w:p>
        </w:tc>
        <w:tc>
          <w:tcPr>
            <w:tcW w:w="1659" w:type="dxa"/>
            <w:tcBorders>
              <w:top w:val="nil"/>
              <w:bottom w:val="nil"/>
            </w:tcBorders>
            <w:vAlign w:val="center"/>
          </w:tcPr>
          <w:p w14:paraId="7DC0101C" w14:textId="77777777" w:rsidR="00894711" w:rsidRPr="00894711" w:rsidRDefault="00894711" w:rsidP="00894711">
            <w:pPr>
              <w:jc w:val="center"/>
              <w:rPr>
                <w:rFonts w:ascii="Cambria" w:hAnsi="Cambria" w:cstheme="majorBidi"/>
              </w:rPr>
            </w:pPr>
            <w:r w:rsidRPr="00894711">
              <w:rPr>
                <w:rFonts w:ascii="Cambria" w:hAnsi="Cambria" w:cstheme="majorBidi"/>
              </w:rPr>
              <w:t>0,126104</w:t>
            </w:r>
          </w:p>
        </w:tc>
        <w:tc>
          <w:tcPr>
            <w:tcW w:w="1614" w:type="dxa"/>
            <w:tcBorders>
              <w:top w:val="nil"/>
              <w:bottom w:val="nil"/>
            </w:tcBorders>
            <w:vAlign w:val="center"/>
          </w:tcPr>
          <w:p w14:paraId="4C36F8C8" w14:textId="77777777" w:rsidR="00894711" w:rsidRPr="00894711" w:rsidRDefault="00894711" w:rsidP="00894711">
            <w:pPr>
              <w:jc w:val="center"/>
              <w:rPr>
                <w:rFonts w:ascii="Cambria" w:hAnsi="Cambria" w:cstheme="majorBidi"/>
              </w:rPr>
            </w:pPr>
            <w:r w:rsidRPr="00894711">
              <w:rPr>
                <w:rFonts w:ascii="Cambria" w:hAnsi="Cambria" w:cstheme="majorBidi"/>
              </w:rPr>
              <w:t>0,285714</w:t>
            </w:r>
          </w:p>
        </w:tc>
        <w:tc>
          <w:tcPr>
            <w:tcW w:w="1930" w:type="dxa"/>
            <w:tcBorders>
              <w:top w:val="nil"/>
              <w:bottom w:val="nil"/>
            </w:tcBorders>
            <w:vAlign w:val="center"/>
          </w:tcPr>
          <w:p w14:paraId="73F2FF2C" w14:textId="77777777" w:rsidR="00894711" w:rsidRPr="00894711" w:rsidRDefault="00894711" w:rsidP="00894711">
            <w:pPr>
              <w:jc w:val="center"/>
              <w:rPr>
                <w:rFonts w:ascii="Cambria" w:hAnsi="Cambria" w:cstheme="majorBidi"/>
              </w:rPr>
            </w:pPr>
            <w:r w:rsidRPr="00894711">
              <w:rPr>
                <w:rFonts w:ascii="Cambria" w:hAnsi="Cambria" w:cstheme="majorBidi"/>
              </w:rPr>
              <w:t>0,1596099</w:t>
            </w:r>
          </w:p>
        </w:tc>
      </w:tr>
      <w:tr w:rsidR="00894711" w:rsidRPr="00894711" w14:paraId="7123A6CD" w14:textId="77777777" w:rsidTr="00E73401">
        <w:trPr>
          <w:trHeight w:val="340"/>
        </w:trPr>
        <w:tc>
          <w:tcPr>
            <w:tcW w:w="763" w:type="dxa"/>
            <w:tcBorders>
              <w:top w:val="nil"/>
              <w:bottom w:val="nil"/>
            </w:tcBorders>
            <w:vAlign w:val="center"/>
          </w:tcPr>
          <w:p w14:paraId="0A599791" w14:textId="77777777" w:rsidR="00894711" w:rsidRPr="00894711" w:rsidRDefault="00894711" w:rsidP="00894711">
            <w:pPr>
              <w:jc w:val="center"/>
              <w:rPr>
                <w:rFonts w:ascii="Cambria" w:hAnsi="Cambria" w:cstheme="majorBidi"/>
              </w:rPr>
            </w:pPr>
            <w:r w:rsidRPr="00894711">
              <w:rPr>
                <w:rFonts w:ascii="Cambria" w:hAnsi="Cambria" w:cstheme="majorBidi"/>
              </w:rPr>
              <w:t>6.</w:t>
            </w:r>
          </w:p>
        </w:tc>
        <w:tc>
          <w:tcPr>
            <w:tcW w:w="839" w:type="dxa"/>
            <w:tcBorders>
              <w:top w:val="nil"/>
              <w:bottom w:val="nil"/>
            </w:tcBorders>
            <w:vAlign w:val="center"/>
          </w:tcPr>
          <w:p w14:paraId="2A183FCA"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70</w:t>
            </w:r>
          </w:p>
        </w:tc>
        <w:tc>
          <w:tcPr>
            <w:tcW w:w="1098" w:type="dxa"/>
            <w:tcBorders>
              <w:top w:val="nil"/>
              <w:bottom w:val="nil"/>
            </w:tcBorders>
            <w:vAlign w:val="center"/>
          </w:tcPr>
          <w:p w14:paraId="7F53DF01" w14:textId="77777777" w:rsidR="00894711" w:rsidRPr="00894711" w:rsidRDefault="00894711" w:rsidP="00894711">
            <w:pPr>
              <w:jc w:val="center"/>
              <w:rPr>
                <w:rFonts w:ascii="Cambria" w:hAnsi="Cambria" w:cstheme="majorBidi"/>
              </w:rPr>
            </w:pPr>
            <w:r w:rsidRPr="00894711">
              <w:rPr>
                <w:rFonts w:ascii="Cambria" w:hAnsi="Cambria" w:cstheme="majorBidi"/>
              </w:rPr>
              <w:t>-1,15</w:t>
            </w:r>
          </w:p>
        </w:tc>
        <w:tc>
          <w:tcPr>
            <w:tcW w:w="1659" w:type="dxa"/>
            <w:tcBorders>
              <w:top w:val="nil"/>
              <w:bottom w:val="nil"/>
            </w:tcBorders>
            <w:vAlign w:val="center"/>
          </w:tcPr>
          <w:p w14:paraId="4F9F1329" w14:textId="77777777" w:rsidR="00894711" w:rsidRPr="00894711" w:rsidRDefault="00894711" w:rsidP="00894711">
            <w:pPr>
              <w:jc w:val="center"/>
              <w:rPr>
                <w:rFonts w:ascii="Cambria" w:hAnsi="Cambria" w:cstheme="majorBidi"/>
              </w:rPr>
            </w:pPr>
            <w:r w:rsidRPr="00894711">
              <w:rPr>
                <w:rFonts w:ascii="Cambria" w:hAnsi="Cambria" w:cstheme="majorBidi"/>
              </w:rPr>
              <w:t>0,126104</w:t>
            </w:r>
          </w:p>
        </w:tc>
        <w:tc>
          <w:tcPr>
            <w:tcW w:w="1614" w:type="dxa"/>
            <w:tcBorders>
              <w:top w:val="nil"/>
              <w:bottom w:val="nil"/>
            </w:tcBorders>
            <w:vAlign w:val="center"/>
          </w:tcPr>
          <w:p w14:paraId="24AEF805" w14:textId="77777777" w:rsidR="00894711" w:rsidRPr="00894711" w:rsidRDefault="00894711" w:rsidP="00894711">
            <w:pPr>
              <w:jc w:val="center"/>
              <w:rPr>
                <w:rFonts w:ascii="Cambria" w:hAnsi="Cambria" w:cstheme="majorBidi"/>
              </w:rPr>
            </w:pPr>
            <w:r w:rsidRPr="00894711">
              <w:rPr>
                <w:rFonts w:ascii="Cambria" w:hAnsi="Cambria" w:cstheme="majorBidi"/>
              </w:rPr>
              <w:t>0,285714</w:t>
            </w:r>
          </w:p>
        </w:tc>
        <w:tc>
          <w:tcPr>
            <w:tcW w:w="1930" w:type="dxa"/>
            <w:tcBorders>
              <w:top w:val="nil"/>
              <w:bottom w:val="nil"/>
            </w:tcBorders>
            <w:vAlign w:val="center"/>
          </w:tcPr>
          <w:p w14:paraId="676D8F69" w14:textId="77777777" w:rsidR="00894711" w:rsidRPr="00894711" w:rsidRDefault="00894711" w:rsidP="00894711">
            <w:pPr>
              <w:jc w:val="center"/>
              <w:rPr>
                <w:rFonts w:ascii="Cambria" w:hAnsi="Cambria" w:cstheme="majorBidi"/>
              </w:rPr>
            </w:pPr>
            <w:r w:rsidRPr="00894711">
              <w:rPr>
                <w:rFonts w:ascii="Cambria" w:hAnsi="Cambria" w:cstheme="majorBidi"/>
              </w:rPr>
              <w:t>0,1596099</w:t>
            </w:r>
          </w:p>
        </w:tc>
      </w:tr>
      <w:tr w:rsidR="00894711" w:rsidRPr="00894711" w14:paraId="2F6C2D0C" w14:textId="77777777" w:rsidTr="00E73401">
        <w:trPr>
          <w:trHeight w:val="340"/>
        </w:trPr>
        <w:tc>
          <w:tcPr>
            <w:tcW w:w="763" w:type="dxa"/>
            <w:tcBorders>
              <w:top w:val="nil"/>
              <w:bottom w:val="nil"/>
            </w:tcBorders>
            <w:vAlign w:val="center"/>
          </w:tcPr>
          <w:p w14:paraId="7FC309BE" w14:textId="77777777" w:rsidR="00894711" w:rsidRPr="00894711" w:rsidRDefault="00894711" w:rsidP="00894711">
            <w:pPr>
              <w:jc w:val="center"/>
              <w:rPr>
                <w:rFonts w:ascii="Cambria" w:hAnsi="Cambria" w:cstheme="majorBidi"/>
              </w:rPr>
            </w:pPr>
            <w:r w:rsidRPr="00894711">
              <w:rPr>
                <w:rFonts w:ascii="Cambria" w:hAnsi="Cambria" w:cstheme="majorBidi"/>
              </w:rPr>
              <w:t>7.</w:t>
            </w:r>
          </w:p>
        </w:tc>
        <w:tc>
          <w:tcPr>
            <w:tcW w:w="839" w:type="dxa"/>
            <w:tcBorders>
              <w:top w:val="nil"/>
              <w:bottom w:val="nil"/>
            </w:tcBorders>
            <w:vAlign w:val="center"/>
          </w:tcPr>
          <w:p w14:paraId="7859C737"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70</w:t>
            </w:r>
          </w:p>
        </w:tc>
        <w:tc>
          <w:tcPr>
            <w:tcW w:w="1098" w:type="dxa"/>
            <w:tcBorders>
              <w:top w:val="nil"/>
              <w:bottom w:val="nil"/>
            </w:tcBorders>
            <w:vAlign w:val="center"/>
          </w:tcPr>
          <w:p w14:paraId="273C794D" w14:textId="77777777" w:rsidR="00894711" w:rsidRPr="00894711" w:rsidRDefault="00894711" w:rsidP="00894711">
            <w:pPr>
              <w:jc w:val="center"/>
              <w:rPr>
                <w:rFonts w:ascii="Cambria" w:hAnsi="Cambria" w:cstheme="majorBidi"/>
              </w:rPr>
            </w:pPr>
            <w:r w:rsidRPr="00894711">
              <w:rPr>
                <w:rFonts w:ascii="Cambria" w:hAnsi="Cambria" w:cstheme="majorBidi"/>
              </w:rPr>
              <w:t>-1,15</w:t>
            </w:r>
          </w:p>
        </w:tc>
        <w:tc>
          <w:tcPr>
            <w:tcW w:w="1659" w:type="dxa"/>
            <w:tcBorders>
              <w:top w:val="nil"/>
              <w:bottom w:val="nil"/>
            </w:tcBorders>
            <w:vAlign w:val="center"/>
          </w:tcPr>
          <w:p w14:paraId="56063D3D" w14:textId="77777777" w:rsidR="00894711" w:rsidRPr="00894711" w:rsidRDefault="00894711" w:rsidP="00894711">
            <w:pPr>
              <w:jc w:val="center"/>
              <w:rPr>
                <w:rFonts w:ascii="Cambria" w:hAnsi="Cambria" w:cstheme="majorBidi"/>
              </w:rPr>
            </w:pPr>
            <w:r w:rsidRPr="00894711">
              <w:rPr>
                <w:rFonts w:ascii="Cambria" w:hAnsi="Cambria" w:cstheme="majorBidi"/>
              </w:rPr>
              <w:t>0,126104</w:t>
            </w:r>
          </w:p>
        </w:tc>
        <w:tc>
          <w:tcPr>
            <w:tcW w:w="1614" w:type="dxa"/>
            <w:tcBorders>
              <w:top w:val="nil"/>
              <w:bottom w:val="nil"/>
            </w:tcBorders>
            <w:vAlign w:val="center"/>
          </w:tcPr>
          <w:p w14:paraId="486824D3" w14:textId="77777777" w:rsidR="00894711" w:rsidRPr="00894711" w:rsidRDefault="00894711" w:rsidP="00894711">
            <w:pPr>
              <w:jc w:val="center"/>
              <w:rPr>
                <w:rFonts w:ascii="Cambria" w:hAnsi="Cambria" w:cstheme="majorBidi"/>
              </w:rPr>
            </w:pPr>
            <w:r w:rsidRPr="00894711">
              <w:rPr>
                <w:rFonts w:ascii="Cambria" w:hAnsi="Cambria" w:cstheme="majorBidi"/>
              </w:rPr>
              <w:t>0,285714</w:t>
            </w:r>
          </w:p>
        </w:tc>
        <w:tc>
          <w:tcPr>
            <w:tcW w:w="1930" w:type="dxa"/>
            <w:tcBorders>
              <w:top w:val="nil"/>
              <w:bottom w:val="nil"/>
            </w:tcBorders>
            <w:vAlign w:val="center"/>
          </w:tcPr>
          <w:p w14:paraId="5E59A06C" w14:textId="77777777" w:rsidR="00894711" w:rsidRPr="00894711" w:rsidRDefault="00894711" w:rsidP="00894711">
            <w:pPr>
              <w:jc w:val="center"/>
              <w:rPr>
                <w:rFonts w:ascii="Cambria" w:hAnsi="Cambria" w:cstheme="majorBidi"/>
              </w:rPr>
            </w:pPr>
            <w:r w:rsidRPr="00894711">
              <w:rPr>
                <w:rFonts w:ascii="Cambria" w:hAnsi="Cambria" w:cstheme="majorBidi"/>
              </w:rPr>
              <w:t>0,1596099</w:t>
            </w:r>
          </w:p>
        </w:tc>
      </w:tr>
      <w:tr w:rsidR="00894711" w:rsidRPr="00894711" w14:paraId="3D3B360A" w14:textId="77777777" w:rsidTr="00E73401">
        <w:trPr>
          <w:trHeight w:val="340"/>
        </w:trPr>
        <w:tc>
          <w:tcPr>
            <w:tcW w:w="763" w:type="dxa"/>
            <w:tcBorders>
              <w:top w:val="nil"/>
              <w:bottom w:val="nil"/>
            </w:tcBorders>
            <w:vAlign w:val="center"/>
          </w:tcPr>
          <w:p w14:paraId="6408E8B8" w14:textId="77777777" w:rsidR="00894711" w:rsidRPr="00894711" w:rsidRDefault="00894711" w:rsidP="00894711">
            <w:pPr>
              <w:jc w:val="center"/>
              <w:rPr>
                <w:rFonts w:ascii="Cambria" w:hAnsi="Cambria" w:cstheme="majorBidi"/>
              </w:rPr>
            </w:pPr>
            <w:r w:rsidRPr="00894711">
              <w:rPr>
                <w:rFonts w:ascii="Cambria" w:hAnsi="Cambria" w:cstheme="majorBidi"/>
              </w:rPr>
              <w:t>8.</w:t>
            </w:r>
          </w:p>
        </w:tc>
        <w:tc>
          <w:tcPr>
            <w:tcW w:w="839" w:type="dxa"/>
            <w:tcBorders>
              <w:top w:val="nil"/>
              <w:bottom w:val="nil"/>
            </w:tcBorders>
            <w:vAlign w:val="center"/>
          </w:tcPr>
          <w:p w14:paraId="44D4BFFF"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70</w:t>
            </w:r>
          </w:p>
        </w:tc>
        <w:tc>
          <w:tcPr>
            <w:tcW w:w="1098" w:type="dxa"/>
            <w:tcBorders>
              <w:top w:val="nil"/>
              <w:bottom w:val="nil"/>
            </w:tcBorders>
            <w:vAlign w:val="center"/>
          </w:tcPr>
          <w:p w14:paraId="30D67BB8" w14:textId="77777777" w:rsidR="00894711" w:rsidRPr="00894711" w:rsidRDefault="00894711" w:rsidP="00894711">
            <w:pPr>
              <w:jc w:val="center"/>
              <w:rPr>
                <w:rFonts w:ascii="Cambria" w:hAnsi="Cambria" w:cstheme="majorBidi"/>
              </w:rPr>
            </w:pPr>
            <w:r w:rsidRPr="00894711">
              <w:rPr>
                <w:rFonts w:ascii="Cambria" w:hAnsi="Cambria" w:cstheme="majorBidi"/>
              </w:rPr>
              <w:t>-1,15</w:t>
            </w:r>
          </w:p>
        </w:tc>
        <w:tc>
          <w:tcPr>
            <w:tcW w:w="1659" w:type="dxa"/>
            <w:tcBorders>
              <w:top w:val="nil"/>
              <w:bottom w:val="nil"/>
            </w:tcBorders>
            <w:vAlign w:val="center"/>
          </w:tcPr>
          <w:p w14:paraId="2F5512C5" w14:textId="77777777" w:rsidR="00894711" w:rsidRPr="00894711" w:rsidRDefault="00894711" w:rsidP="00894711">
            <w:pPr>
              <w:jc w:val="center"/>
              <w:rPr>
                <w:rFonts w:ascii="Cambria" w:hAnsi="Cambria" w:cstheme="majorBidi"/>
              </w:rPr>
            </w:pPr>
            <w:r w:rsidRPr="00894711">
              <w:rPr>
                <w:rFonts w:ascii="Cambria" w:hAnsi="Cambria" w:cstheme="majorBidi"/>
              </w:rPr>
              <w:t>0,126104</w:t>
            </w:r>
          </w:p>
        </w:tc>
        <w:tc>
          <w:tcPr>
            <w:tcW w:w="1614" w:type="dxa"/>
            <w:tcBorders>
              <w:top w:val="nil"/>
              <w:bottom w:val="nil"/>
            </w:tcBorders>
            <w:vAlign w:val="center"/>
          </w:tcPr>
          <w:p w14:paraId="6DBDC9A2" w14:textId="77777777" w:rsidR="00894711" w:rsidRPr="00894711" w:rsidRDefault="00894711" w:rsidP="00894711">
            <w:pPr>
              <w:jc w:val="center"/>
              <w:rPr>
                <w:rFonts w:ascii="Cambria" w:hAnsi="Cambria" w:cstheme="majorBidi"/>
              </w:rPr>
            </w:pPr>
            <w:r w:rsidRPr="00894711">
              <w:rPr>
                <w:rFonts w:ascii="Cambria" w:hAnsi="Cambria" w:cstheme="majorBidi"/>
              </w:rPr>
              <w:t>0,285714</w:t>
            </w:r>
          </w:p>
        </w:tc>
        <w:tc>
          <w:tcPr>
            <w:tcW w:w="1930" w:type="dxa"/>
            <w:tcBorders>
              <w:top w:val="nil"/>
              <w:bottom w:val="nil"/>
            </w:tcBorders>
            <w:vAlign w:val="center"/>
          </w:tcPr>
          <w:p w14:paraId="24ED434A" w14:textId="77777777" w:rsidR="00894711" w:rsidRPr="00894711" w:rsidRDefault="00894711" w:rsidP="00894711">
            <w:pPr>
              <w:jc w:val="center"/>
              <w:rPr>
                <w:rFonts w:ascii="Cambria" w:hAnsi="Cambria" w:cstheme="majorBidi"/>
              </w:rPr>
            </w:pPr>
            <w:r w:rsidRPr="00894711">
              <w:rPr>
                <w:rFonts w:ascii="Cambria" w:hAnsi="Cambria" w:cstheme="majorBidi"/>
              </w:rPr>
              <w:t>0,1596099</w:t>
            </w:r>
          </w:p>
        </w:tc>
      </w:tr>
      <w:tr w:rsidR="00894711" w:rsidRPr="00894711" w14:paraId="75FBBCBA" w14:textId="77777777" w:rsidTr="00E73401">
        <w:trPr>
          <w:trHeight w:val="340"/>
        </w:trPr>
        <w:tc>
          <w:tcPr>
            <w:tcW w:w="763" w:type="dxa"/>
            <w:tcBorders>
              <w:top w:val="nil"/>
              <w:bottom w:val="nil"/>
            </w:tcBorders>
            <w:vAlign w:val="center"/>
          </w:tcPr>
          <w:p w14:paraId="2394F467" w14:textId="77777777" w:rsidR="00894711" w:rsidRPr="00894711" w:rsidRDefault="00894711" w:rsidP="00894711">
            <w:pPr>
              <w:jc w:val="center"/>
              <w:rPr>
                <w:rFonts w:ascii="Cambria" w:hAnsi="Cambria" w:cstheme="majorBidi"/>
              </w:rPr>
            </w:pPr>
            <w:r w:rsidRPr="00894711">
              <w:rPr>
                <w:rFonts w:ascii="Cambria" w:hAnsi="Cambria" w:cstheme="majorBidi"/>
              </w:rPr>
              <w:t>9.</w:t>
            </w:r>
          </w:p>
        </w:tc>
        <w:tc>
          <w:tcPr>
            <w:tcW w:w="839" w:type="dxa"/>
            <w:tcBorders>
              <w:top w:val="nil"/>
              <w:bottom w:val="nil"/>
            </w:tcBorders>
            <w:vAlign w:val="center"/>
          </w:tcPr>
          <w:p w14:paraId="2470D3EF"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177F3A5D"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06EEC0A7"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1061895B"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08DF34DD"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4C8EA1EB" w14:textId="77777777" w:rsidTr="00E73401">
        <w:trPr>
          <w:trHeight w:val="340"/>
        </w:trPr>
        <w:tc>
          <w:tcPr>
            <w:tcW w:w="763" w:type="dxa"/>
            <w:tcBorders>
              <w:top w:val="nil"/>
              <w:bottom w:val="nil"/>
            </w:tcBorders>
            <w:vAlign w:val="center"/>
          </w:tcPr>
          <w:p w14:paraId="55841F7C" w14:textId="77777777" w:rsidR="00894711" w:rsidRPr="00894711" w:rsidRDefault="00894711" w:rsidP="00894711">
            <w:pPr>
              <w:jc w:val="center"/>
              <w:rPr>
                <w:rFonts w:ascii="Cambria" w:hAnsi="Cambria" w:cstheme="majorBidi"/>
              </w:rPr>
            </w:pPr>
            <w:r w:rsidRPr="00894711">
              <w:rPr>
                <w:rFonts w:ascii="Cambria" w:hAnsi="Cambria" w:cstheme="majorBidi"/>
              </w:rPr>
              <w:t>10.</w:t>
            </w:r>
          </w:p>
        </w:tc>
        <w:tc>
          <w:tcPr>
            <w:tcW w:w="839" w:type="dxa"/>
            <w:tcBorders>
              <w:top w:val="nil"/>
              <w:bottom w:val="nil"/>
            </w:tcBorders>
            <w:vAlign w:val="center"/>
          </w:tcPr>
          <w:p w14:paraId="48B8B1E3"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708D2322"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7189CF1A"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4EDB0D1C"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4492BDF8"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4D81D251" w14:textId="77777777" w:rsidTr="00E73401">
        <w:trPr>
          <w:trHeight w:val="340"/>
        </w:trPr>
        <w:tc>
          <w:tcPr>
            <w:tcW w:w="763" w:type="dxa"/>
            <w:tcBorders>
              <w:top w:val="nil"/>
              <w:bottom w:val="nil"/>
            </w:tcBorders>
            <w:vAlign w:val="center"/>
          </w:tcPr>
          <w:p w14:paraId="16E69183" w14:textId="77777777" w:rsidR="00894711" w:rsidRPr="00894711" w:rsidRDefault="00894711" w:rsidP="00894711">
            <w:pPr>
              <w:jc w:val="center"/>
              <w:rPr>
                <w:rFonts w:ascii="Cambria" w:hAnsi="Cambria" w:cstheme="majorBidi"/>
              </w:rPr>
            </w:pPr>
            <w:r w:rsidRPr="00894711">
              <w:rPr>
                <w:rFonts w:ascii="Cambria" w:hAnsi="Cambria" w:cstheme="majorBidi"/>
              </w:rPr>
              <w:t>11.</w:t>
            </w:r>
          </w:p>
        </w:tc>
        <w:tc>
          <w:tcPr>
            <w:tcW w:w="839" w:type="dxa"/>
            <w:tcBorders>
              <w:top w:val="nil"/>
              <w:bottom w:val="nil"/>
            </w:tcBorders>
            <w:vAlign w:val="center"/>
          </w:tcPr>
          <w:p w14:paraId="2668F99A"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243C4677"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3767FB94"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2B2B2705"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3184C4E2"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17F6E37A" w14:textId="77777777" w:rsidTr="00E73401">
        <w:trPr>
          <w:trHeight w:val="340"/>
        </w:trPr>
        <w:tc>
          <w:tcPr>
            <w:tcW w:w="763" w:type="dxa"/>
            <w:tcBorders>
              <w:top w:val="nil"/>
              <w:bottom w:val="nil"/>
            </w:tcBorders>
            <w:vAlign w:val="center"/>
          </w:tcPr>
          <w:p w14:paraId="086E3A75" w14:textId="77777777" w:rsidR="00894711" w:rsidRPr="00894711" w:rsidRDefault="00894711" w:rsidP="00894711">
            <w:pPr>
              <w:jc w:val="center"/>
              <w:rPr>
                <w:rFonts w:ascii="Cambria" w:hAnsi="Cambria" w:cstheme="majorBidi"/>
              </w:rPr>
            </w:pPr>
            <w:r w:rsidRPr="00894711">
              <w:rPr>
                <w:rFonts w:ascii="Cambria" w:hAnsi="Cambria" w:cstheme="majorBidi"/>
              </w:rPr>
              <w:t>12.</w:t>
            </w:r>
          </w:p>
        </w:tc>
        <w:tc>
          <w:tcPr>
            <w:tcW w:w="839" w:type="dxa"/>
            <w:tcBorders>
              <w:top w:val="nil"/>
              <w:bottom w:val="nil"/>
            </w:tcBorders>
            <w:vAlign w:val="center"/>
          </w:tcPr>
          <w:p w14:paraId="07C5437E"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35BAF9F6"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61142D41"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5E18FD1D"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7FB32DF4"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1E91C8B6" w14:textId="77777777" w:rsidTr="00E73401">
        <w:trPr>
          <w:trHeight w:val="340"/>
        </w:trPr>
        <w:tc>
          <w:tcPr>
            <w:tcW w:w="763" w:type="dxa"/>
            <w:tcBorders>
              <w:top w:val="nil"/>
              <w:bottom w:val="nil"/>
            </w:tcBorders>
            <w:vAlign w:val="center"/>
          </w:tcPr>
          <w:p w14:paraId="75818048" w14:textId="77777777" w:rsidR="00894711" w:rsidRPr="00894711" w:rsidRDefault="00894711" w:rsidP="00894711">
            <w:pPr>
              <w:jc w:val="center"/>
              <w:rPr>
                <w:rFonts w:ascii="Cambria" w:hAnsi="Cambria" w:cstheme="majorBidi"/>
              </w:rPr>
            </w:pPr>
            <w:r w:rsidRPr="00894711">
              <w:rPr>
                <w:rFonts w:ascii="Cambria" w:hAnsi="Cambria" w:cstheme="majorBidi"/>
              </w:rPr>
              <w:t>13.</w:t>
            </w:r>
          </w:p>
        </w:tc>
        <w:tc>
          <w:tcPr>
            <w:tcW w:w="839" w:type="dxa"/>
            <w:tcBorders>
              <w:top w:val="nil"/>
              <w:bottom w:val="nil"/>
            </w:tcBorders>
            <w:vAlign w:val="center"/>
          </w:tcPr>
          <w:p w14:paraId="04233682"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55EEBF84"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4335FDD3"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09575D73"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77A8B76D"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674D5DAE" w14:textId="77777777" w:rsidTr="00E73401">
        <w:trPr>
          <w:trHeight w:val="340"/>
        </w:trPr>
        <w:tc>
          <w:tcPr>
            <w:tcW w:w="763" w:type="dxa"/>
            <w:tcBorders>
              <w:top w:val="nil"/>
              <w:bottom w:val="nil"/>
            </w:tcBorders>
            <w:vAlign w:val="center"/>
          </w:tcPr>
          <w:p w14:paraId="59CDA82F" w14:textId="77777777" w:rsidR="00894711" w:rsidRPr="00894711" w:rsidRDefault="00894711" w:rsidP="00894711">
            <w:pPr>
              <w:jc w:val="center"/>
              <w:rPr>
                <w:rFonts w:ascii="Cambria" w:hAnsi="Cambria" w:cstheme="majorBidi"/>
              </w:rPr>
            </w:pPr>
            <w:r w:rsidRPr="00894711">
              <w:rPr>
                <w:rFonts w:ascii="Cambria" w:hAnsi="Cambria" w:cstheme="majorBidi"/>
              </w:rPr>
              <w:t>14.</w:t>
            </w:r>
          </w:p>
        </w:tc>
        <w:tc>
          <w:tcPr>
            <w:tcW w:w="839" w:type="dxa"/>
            <w:tcBorders>
              <w:top w:val="nil"/>
              <w:bottom w:val="nil"/>
            </w:tcBorders>
            <w:vAlign w:val="center"/>
          </w:tcPr>
          <w:p w14:paraId="41BA0A83"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19320B99"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2FF3B56A"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33836C44"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53DD2E7D"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1CD98E81" w14:textId="77777777" w:rsidTr="00E73401">
        <w:trPr>
          <w:trHeight w:val="340"/>
        </w:trPr>
        <w:tc>
          <w:tcPr>
            <w:tcW w:w="763" w:type="dxa"/>
            <w:tcBorders>
              <w:top w:val="nil"/>
              <w:bottom w:val="nil"/>
            </w:tcBorders>
            <w:vAlign w:val="center"/>
          </w:tcPr>
          <w:p w14:paraId="1E0FC81C" w14:textId="77777777" w:rsidR="00894711" w:rsidRPr="00894711" w:rsidRDefault="00894711" w:rsidP="00894711">
            <w:pPr>
              <w:jc w:val="center"/>
              <w:rPr>
                <w:rFonts w:ascii="Cambria" w:hAnsi="Cambria" w:cstheme="majorBidi"/>
              </w:rPr>
            </w:pPr>
            <w:r w:rsidRPr="00894711">
              <w:rPr>
                <w:rFonts w:ascii="Cambria" w:hAnsi="Cambria" w:cstheme="majorBidi"/>
              </w:rPr>
              <w:t>15.</w:t>
            </w:r>
          </w:p>
        </w:tc>
        <w:tc>
          <w:tcPr>
            <w:tcW w:w="839" w:type="dxa"/>
            <w:tcBorders>
              <w:top w:val="nil"/>
              <w:bottom w:val="nil"/>
            </w:tcBorders>
            <w:vAlign w:val="center"/>
          </w:tcPr>
          <w:p w14:paraId="5E7CA33A"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6E8EC5BA"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764472B8"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3AF1EA51"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6DB6E76F"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13800322" w14:textId="77777777" w:rsidTr="00E73401">
        <w:trPr>
          <w:trHeight w:val="340"/>
        </w:trPr>
        <w:tc>
          <w:tcPr>
            <w:tcW w:w="763" w:type="dxa"/>
            <w:tcBorders>
              <w:top w:val="nil"/>
              <w:bottom w:val="nil"/>
            </w:tcBorders>
            <w:vAlign w:val="center"/>
          </w:tcPr>
          <w:p w14:paraId="613CA408" w14:textId="77777777" w:rsidR="00894711" w:rsidRPr="00894711" w:rsidRDefault="00894711" w:rsidP="00894711">
            <w:pPr>
              <w:jc w:val="center"/>
              <w:rPr>
                <w:rFonts w:ascii="Cambria" w:hAnsi="Cambria" w:cstheme="majorBidi"/>
              </w:rPr>
            </w:pPr>
            <w:r w:rsidRPr="00894711">
              <w:rPr>
                <w:rFonts w:ascii="Cambria" w:hAnsi="Cambria" w:cstheme="majorBidi"/>
              </w:rPr>
              <w:t>16.</w:t>
            </w:r>
          </w:p>
        </w:tc>
        <w:tc>
          <w:tcPr>
            <w:tcW w:w="839" w:type="dxa"/>
            <w:tcBorders>
              <w:top w:val="nil"/>
              <w:bottom w:val="nil"/>
            </w:tcBorders>
            <w:vAlign w:val="center"/>
          </w:tcPr>
          <w:p w14:paraId="6E6DB772"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022389E0"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286D1AC9"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7CA964A3"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0986CD56"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0A01C46C" w14:textId="77777777" w:rsidTr="00E73401">
        <w:trPr>
          <w:trHeight w:val="340"/>
        </w:trPr>
        <w:tc>
          <w:tcPr>
            <w:tcW w:w="763" w:type="dxa"/>
            <w:tcBorders>
              <w:top w:val="nil"/>
              <w:bottom w:val="nil"/>
            </w:tcBorders>
            <w:vAlign w:val="center"/>
          </w:tcPr>
          <w:p w14:paraId="3104ED3E" w14:textId="77777777" w:rsidR="00894711" w:rsidRPr="00894711" w:rsidRDefault="00894711" w:rsidP="00894711">
            <w:pPr>
              <w:jc w:val="center"/>
              <w:rPr>
                <w:rFonts w:ascii="Cambria" w:hAnsi="Cambria" w:cstheme="majorBidi"/>
              </w:rPr>
            </w:pPr>
            <w:r w:rsidRPr="00894711">
              <w:rPr>
                <w:rFonts w:ascii="Cambria" w:hAnsi="Cambria" w:cstheme="majorBidi"/>
              </w:rPr>
              <w:t>17.</w:t>
            </w:r>
          </w:p>
        </w:tc>
        <w:tc>
          <w:tcPr>
            <w:tcW w:w="839" w:type="dxa"/>
            <w:tcBorders>
              <w:top w:val="nil"/>
              <w:bottom w:val="nil"/>
            </w:tcBorders>
            <w:vAlign w:val="center"/>
          </w:tcPr>
          <w:p w14:paraId="250E3EB7"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2E88A821"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4BA6D5ED"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5A69BA11"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2513F744"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14E23C0D" w14:textId="77777777" w:rsidTr="00E73401">
        <w:trPr>
          <w:trHeight w:val="340"/>
        </w:trPr>
        <w:tc>
          <w:tcPr>
            <w:tcW w:w="763" w:type="dxa"/>
            <w:tcBorders>
              <w:top w:val="nil"/>
              <w:bottom w:val="nil"/>
            </w:tcBorders>
            <w:vAlign w:val="center"/>
          </w:tcPr>
          <w:p w14:paraId="00D9191D" w14:textId="77777777" w:rsidR="00894711" w:rsidRPr="00894711" w:rsidRDefault="00894711" w:rsidP="00894711">
            <w:pPr>
              <w:jc w:val="center"/>
              <w:rPr>
                <w:rFonts w:ascii="Cambria" w:hAnsi="Cambria" w:cstheme="majorBidi"/>
              </w:rPr>
            </w:pPr>
            <w:r w:rsidRPr="00894711">
              <w:rPr>
                <w:rFonts w:ascii="Cambria" w:hAnsi="Cambria" w:cstheme="majorBidi"/>
              </w:rPr>
              <w:t>18.</w:t>
            </w:r>
          </w:p>
        </w:tc>
        <w:tc>
          <w:tcPr>
            <w:tcW w:w="839" w:type="dxa"/>
            <w:tcBorders>
              <w:top w:val="nil"/>
              <w:bottom w:val="nil"/>
            </w:tcBorders>
            <w:vAlign w:val="center"/>
          </w:tcPr>
          <w:p w14:paraId="23A511A7"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0EA2FC47"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1DB4EF26"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41473B3E"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64B87EB8"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6349D1A6" w14:textId="77777777" w:rsidTr="00E73401">
        <w:trPr>
          <w:trHeight w:val="340"/>
        </w:trPr>
        <w:tc>
          <w:tcPr>
            <w:tcW w:w="763" w:type="dxa"/>
            <w:tcBorders>
              <w:top w:val="nil"/>
              <w:bottom w:val="nil"/>
            </w:tcBorders>
            <w:vAlign w:val="center"/>
          </w:tcPr>
          <w:p w14:paraId="46268515" w14:textId="77777777" w:rsidR="00894711" w:rsidRPr="00894711" w:rsidRDefault="00894711" w:rsidP="00894711">
            <w:pPr>
              <w:jc w:val="center"/>
              <w:rPr>
                <w:rFonts w:ascii="Cambria" w:hAnsi="Cambria" w:cstheme="majorBidi"/>
              </w:rPr>
            </w:pPr>
            <w:r w:rsidRPr="00894711">
              <w:rPr>
                <w:rFonts w:ascii="Cambria" w:hAnsi="Cambria" w:cstheme="majorBidi"/>
              </w:rPr>
              <w:t>19.</w:t>
            </w:r>
          </w:p>
        </w:tc>
        <w:tc>
          <w:tcPr>
            <w:tcW w:w="839" w:type="dxa"/>
            <w:tcBorders>
              <w:top w:val="nil"/>
              <w:bottom w:val="nil"/>
            </w:tcBorders>
            <w:vAlign w:val="center"/>
          </w:tcPr>
          <w:p w14:paraId="4ECC3F9C"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0CB11A5E"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014D41B3"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0BDE1053"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6124FEA4"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6931F923" w14:textId="77777777" w:rsidTr="00E73401">
        <w:trPr>
          <w:trHeight w:val="340"/>
        </w:trPr>
        <w:tc>
          <w:tcPr>
            <w:tcW w:w="763" w:type="dxa"/>
            <w:tcBorders>
              <w:top w:val="nil"/>
              <w:bottom w:val="nil"/>
            </w:tcBorders>
            <w:vAlign w:val="center"/>
          </w:tcPr>
          <w:p w14:paraId="21FCBD66" w14:textId="77777777" w:rsidR="00894711" w:rsidRPr="00894711" w:rsidRDefault="00894711" w:rsidP="00894711">
            <w:pPr>
              <w:jc w:val="center"/>
              <w:rPr>
                <w:rFonts w:ascii="Cambria" w:hAnsi="Cambria" w:cstheme="majorBidi"/>
              </w:rPr>
            </w:pPr>
            <w:r w:rsidRPr="00894711">
              <w:rPr>
                <w:rFonts w:ascii="Cambria" w:hAnsi="Cambria" w:cstheme="majorBidi"/>
              </w:rPr>
              <w:t>20.</w:t>
            </w:r>
          </w:p>
        </w:tc>
        <w:tc>
          <w:tcPr>
            <w:tcW w:w="839" w:type="dxa"/>
            <w:tcBorders>
              <w:top w:val="nil"/>
              <w:bottom w:val="nil"/>
            </w:tcBorders>
            <w:vAlign w:val="center"/>
          </w:tcPr>
          <w:p w14:paraId="77FAC1B3"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80</w:t>
            </w:r>
          </w:p>
        </w:tc>
        <w:tc>
          <w:tcPr>
            <w:tcW w:w="1098" w:type="dxa"/>
            <w:tcBorders>
              <w:top w:val="nil"/>
              <w:bottom w:val="nil"/>
            </w:tcBorders>
            <w:vAlign w:val="center"/>
          </w:tcPr>
          <w:p w14:paraId="69E5F373" w14:textId="77777777" w:rsidR="00894711" w:rsidRPr="00894711" w:rsidRDefault="00894711" w:rsidP="00894711">
            <w:pPr>
              <w:jc w:val="center"/>
              <w:rPr>
                <w:rFonts w:ascii="Cambria" w:hAnsi="Cambria" w:cstheme="majorBidi"/>
              </w:rPr>
            </w:pPr>
            <w:r w:rsidRPr="00894711">
              <w:rPr>
                <w:rFonts w:ascii="Cambria" w:hAnsi="Cambria" w:cstheme="majorBidi"/>
              </w:rPr>
              <w:t>0,22</w:t>
            </w:r>
          </w:p>
        </w:tc>
        <w:tc>
          <w:tcPr>
            <w:tcW w:w="1659" w:type="dxa"/>
            <w:tcBorders>
              <w:top w:val="nil"/>
              <w:bottom w:val="nil"/>
            </w:tcBorders>
            <w:vAlign w:val="center"/>
          </w:tcPr>
          <w:p w14:paraId="35B973B2" w14:textId="77777777" w:rsidR="00894711" w:rsidRPr="00894711" w:rsidRDefault="00894711" w:rsidP="00894711">
            <w:pPr>
              <w:jc w:val="center"/>
              <w:rPr>
                <w:rFonts w:ascii="Cambria" w:hAnsi="Cambria" w:cstheme="majorBidi"/>
              </w:rPr>
            </w:pPr>
            <w:r w:rsidRPr="00894711">
              <w:rPr>
                <w:rFonts w:ascii="Cambria" w:hAnsi="Cambria" w:cstheme="majorBidi"/>
              </w:rPr>
              <w:t>0,586774</w:t>
            </w:r>
          </w:p>
        </w:tc>
        <w:tc>
          <w:tcPr>
            <w:tcW w:w="1614" w:type="dxa"/>
            <w:tcBorders>
              <w:top w:val="nil"/>
              <w:bottom w:val="nil"/>
            </w:tcBorders>
            <w:vAlign w:val="center"/>
          </w:tcPr>
          <w:p w14:paraId="2698433D" w14:textId="77777777" w:rsidR="00894711" w:rsidRPr="00894711" w:rsidRDefault="00894711" w:rsidP="00894711">
            <w:pPr>
              <w:jc w:val="center"/>
              <w:rPr>
                <w:rFonts w:ascii="Cambria" w:hAnsi="Cambria" w:cstheme="majorBidi"/>
              </w:rPr>
            </w:pPr>
            <w:r w:rsidRPr="00894711">
              <w:rPr>
                <w:rFonts w:ascii="Cambria" w:hAnsi="Cambria" w:cstheme="majorBidi"/>
              </w:rPr>
              <w:t>0,714286</w:t>
            </w:r>
          </w:p>
        </w:tc>
        <w:tc>
          <w:tcPr>
            <w:tcW w:w="1930" w:type="dxa"/>
            <w:tcBorders>
              <w:top w:val="nil"/>
              <w:bottom w:val="nil"/>
            </w:tcBorders>
            <w:vAlign w:val="center"/>
          </w:tcPr>
          <w:p w14:paraId="3A585141"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722B5788" w14:textId="77777777" w:rsidTr="00E73401">
        <w:trPr>
          <w:trHeight w:val="340"/>
        </w:trPr>
        <w:tc>
          <w:tcPr>
            <w:tcW w:w="763" w:type="dxa"/>
            <w:tcBorders>
              <w:top w:val="nil"/>
              <w:bottom w:val="nil"/>
            </w:tcBorders>
            <w:vAlign w:val="center"/>
          </w:tcPr>
          <w:p w14:paraId="3D2F9B57" w14:textId="77777777" w:rsidR="00894711" w:rsidRPr="00894711" w:rsidRDefault="00894711" w:rsidP="00894711">
            <w:pPr>
              <w:jc w:val="center"/>
              <w:rPr>
                <w:rFonts w:ascii="Cambria" w:hAnsi="Cambria" w:cstheme="majorBidi"/>
              </w:rPr>
            </w:pPr>
            <w:r w:rsidRPr="00894711">
              <w:rPr>
                <w:rFonts w:ascii="Cambria" w:hAnsi="Cambria" w:cstheme="majorBidi"/>
              </w:rPr>
              <w:t>21.</w:t>
            </w:r>
          </w:p>
        </w:tc>
        <w:tc>
          <w:tcPr>
            <w:tcW w:w="839" w:type="dxa"/>
            <w:tcBorders>
              <w:top w:val="nil"/>
              <w:bottom w:val="nil"/>
            </w:tcBorders>
            <w:vAlign w:val="center"/>
          </w:tcPr>
          <w:p w14:paraId="66673A76"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85</w:t>
            </w:r>
          </w:p>
        </w:tc>
        <w:tc>
          <w:tcPr>
            <w:tcW w:w="1098" w:type="dxa"/>
            <w:tcBorders>
              <w:top w:val="nil"/>
              <w:bottom w:val="nil"/>
            </w:tcBorders>
            <w:vAlign w:val="center"/>
          </w:tcPr>
          <w:p w14:paraId="213AA340" w14:textId="77777777" w:rsidR="00894711" w:rsidRPr="00894711" w:rsidRDefault="00894711" w:rsidP="00894711">
            <w:pPr>
              <w:jc w:val="center"/>
              <w:rPr>
                <w:rFonts w:ascii="Cambria" w:hAnsi="Cambria" w:cstheme="majorBidi"/>
              </w:rPr>
            </w:pPr>
            <w:r w:rsidRPr="00894711">
              <w:rPr>
                <w:rFonts w:ascii="Cambria" w:hAnsi="Cambria" w:cstheme="majorBidi"/>
              </w:rPr>
              <w:t>0,90</w:t>
            </w:r>
          </w:p>
        </w:tc>
        <w:tc>
          <w:tcPr>
            <w:tcW w:w="1659" w:type="dxa"/>
            <w:tcBorders>
              <w:top w:val="nil"/>
              <w:bottom w:val="nil"/>
            </w:tcBorders>
            <w:vAlign w:val="center"/>
          </w:tcPr>
          <w:p w14:paraId="619594AE" w14:textId="77777777" w:rsidR="00894711" w:rsidRPr="00894711" w:rsidRDefault="00894711" w:rsidP="00894711">
            <w:pPr>
              <w:jc w:val="center"/>
              <w:rPr>
                <w:rFonts w:ascii="Cambria" w:hAnsi="Cambria" w:cstheme="majorBidi"/>
              </w:rPr>
            </w:pPr>
            <w:r w:rsidRPr="00894711">
              <w:rPr>
                <w:rFonts w:ascii="Cambria" w:hAnsi="Cambria" w:cstheme="majorBidi"/>
              </w:rPr>
              <w:t>0,816308</w:t>
            </w:r>
          </w:p>
        </w:tc>
        <w:tc>
          <w:tcPr>
            <w:tcW w:w="1614" w:type="dxa"/>
            <w:tcBorders>
              <w:top w:val="nil"/>
              <w:bottom w:val="nil"/>
            </w:tcBorders>
            <w:vAlign w:val="center"/>
          </w:tcPr>
          <w:p w14:paraId="4275CD86" w14:textId="77777777" w:rsidR="00894711" w:rsidRPr="00894711" w:rsidRDefault="00894711" w:rsidP="00894711">
            <w:pPr>
              <w:jc w:val="center"/>
              <w:rPr>
                <w:rFonts w:ascii="Cambria" w:hAnsi="Cambria" w:cstheme="majorBidi"/>
              </w:rPr>
            </w:pPr>
            <w:r w:rsidRPr="00894711">
              <w:rPr>
                <w:rFonts w:ascii="Cambria" w:hAnsi="Cambria" w:cstheme="majorBidi"/>
              </w:rPr>
              <w:t>0,928571</w:t>
            </w:r>
          </w:p>
        </w:tc>
        <w:tc>
          <w:tcPr>
            <w:tcW w:w="1930" w:type="dxa"/>
            <w:tcBorders>
              <w:top w:val="nil"/>
              <w:bottom w:val="nil"/>
            </w:tcBorders>
            <w:vAlign w:val="center"/>
          </w:tcPr>
          <w:p w14:paraId="3C5A6040"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7C270EF9" w14:textId="77777777" w:rsidTr="00E73401">
        <w:trPr>
          <w:trHeight w:val="340"/>
        </w:trPr>
        <w:tc>
          <w:tcPr>
            <w:tcW w:w="763" w:type="dxa"/>
            <w:tcBorders>
              <w:top w:val="nil"/>
              <w:bottom w:val="nil"/>
            </w:tcBorders>
            <w:vAlign w:val="center"/>
          </w:tcPr>
          <w:p w14:paraId="03C9E5E9" w14:textId="77777777" w:rsidR="00894711" w:rsidRPr="00894711" w:rsidRDefault="00894711" w:rsidP="00894711">
            <w:pPr>
              <w:jc w:val="center"/>
              <w:rPr>
                <w:rFonts w:ascii="Cambria" w:hAnsi="Cambria" w:cstheme="majorBidi"/>
              </w:rPr>
            </w:pPr>
            <w:r w:rsidRPr="00894711">
              <w:rPr>
                <w:rFonts w:ascii="Cambria" w:hAnsi="Cambria" w:cstheme="majorBidi"/>
              </w:rPr>
              <w:t>22.</w:t>
            </w:r>
          </w:p>
        </w:tc>
        <w:tc>
          <w:tcPr>
            <w:tcW w:w="839" w:type="dxa"/>
            <w:tcBorders>
              <w:top w:val="nil"/>
              <w:bottom w:val="nil"/>
            </w:tcBorders>
            <w:vAlign w:val="center"/>
          </w:tcPr>
          <w:p w14:paraId="7385C587"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85</w:t>
            </w:r>
          </w:p>
        </w:tc>
        <w:tc>
          <w:tcPr>
            <w:tcW w:w="1098" w:type="dxa"/>
            <w:tcBorders>
              <w:top w:val="nil"/>
              <w:bottom w:val="nil"/>
            </w:tcBorders>
            <w:vAlign w:val="center"/>
          </w:tcPr>
          <w:p w14:paraId="6DF7BA7C" w14:textId="77777777" w:rsidR="00894711" w:rsidRPr="00894711" w:rsidRDefault="00894711" w:rsidP="00894711">
            <w:pPr>
              <w:jc w:val="center"/>
              <w:rPr>
                <w:rFonts w:ascii="Cambria" w:hAnsi="Cambria" w:cstheme="majorBidi"/>
              </w:rPr>
            </w:pPr>
            <w:r w:rsidRPr="00894711">
              <w:rPr>
                <w:rFonts w:ascii="Cambria" w:hAnsi="Cambria" w:cstheme="majorBidi"/>
              </w:rPr>
              <w:t>0,90</w:t>
            </w:r>
          </w:p>
        </w:tc>
        <w:tc>
          <w:tcPr>
            <w:tcW w:w="1659" w:type="dxa"/>
            <w:tcBorders>
              <w:top w:val="nil"/>
              <w:bottom w:val="nil"/>
            </w:tcBorders>
            <w:vAlign w:val="center"/>
          </w:tcPr>
          <w:p w14:paraId="53BA1D5C" w14:textId="77777777" w:rsidR="00894711" w:rsidRPr="00894711" w:rsidRDefault="00894711" w:rsidP="00894711">
            <w:pPr>
              <w:jc w:val="center"/>
              <w:rPr>
                <w:rFonts w:ascii="Cambria" w:hAnsi="Cambria" w:cstheme="majorBidi"/>
              </w:rPr>
            </w:pPr>
            <w:r w:rsidRPr="00894711">
              <w:rPr>
                <w:rFonts w:ascii="Cambria" w:hAnsi="Cambria" w:cstheme="majorBidi"/>
              </w:rPr>
              <w:t>0,816308</w:t>
            </w:r>
          </w:p>
        </w:tc>
        <w:tc>
          <w:tcPr>
            <w:tcW w:w="1614" w:type="dxa"/>
            <w:tcBorders>
              <w:top w:val="nil"/>
              <w:bottom w:val="nil"/>
            </w:tcBorders>
            <w:vAlign w:val="center"/>
          </w:tcPr>
          <w:p w14:paraId="26052512" w14:textId="77777777" w:rsidR="00894711" w:rsidRPr="00894711" w:rsidRDefault="00894711" w:rsidP="00894711">
            <w:pPr>
              <w:jc w:val="center"/>
              <w:rPr>
                <w:rFonts w:ascii="Cambria" w:hAnsi="Cambria" w:cstheme="majorBidi"/>
              </w:rPr>
            </w:pPr>
            <w:r w:rsidRPr="00894711">
              <w:rPr>
                <w:rFonts w:ascii="Cambria" w:hAnsi="Cambria" w:cstheme="majorBidi"/>
              </w:rPr>
              <w:t>0,928571</w:t>
            </w:r>
          </w:p>
        </w:tc>
        <w:tc>
          <w:tcPr>
            <w:tcW w:w="1930" w:type="dxa"/>
            <w:tcBorders>
              <w:top w:val="nil"/>
              <w:bottom w:val="nil"/>
            </w:tcBorders>
            <w:vAlign w:val="center"/>
          </w:tcPr>
          <w:p w14:paraId="2E6BE46E"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540657D2" w14:textId="77777777" w:rsidTr="00E73401">
        <w:trPr>
          <w:trHeight w:val="340"/>
        </w:trPr>
        <w:tc>
          <w:tcPr>
            <w:tcW w:w="763" w:type="dxa"/>
            <w:tcBorders>
              <w:top w:val="nil"/>
              <w:bottom w:val="nil"/>
            </w:tcBorders>
            <w:vAlign w:val="center"/>
          </w:tcPr>
          <w:p w14:paraId="01765D73" w14:textId="77777777" w:rsidR="00894711" w:rsidRPr="00894711" w:rsidRDefault="00894711" w:rsidP="00894711">
            <w:pPr>
              <w:jc w:val="center"/>
              <w:rPr>
                <w:rFonts w:ascii="Cambria" w:hAnsi="Cambria" w:cstheme="majorBidi"/>
              </w:rPr>
            </w:pPr>
            <w:r w:rsidRPr="00894711">
              <w:rPr>
                <w:rFonts w:ascii="Cambria" w:hAnsi="Cambria" w:cstheme="majorBidi"/>
              </w:rPr>
              <w:t>23.</w:t>
            </w:r>
          </w:p>
        </w:tc>
        <w:tc>
          <w:tcPr>
            <w:tcW w:w="839" w:type="dxa"/>
            <w:tcBorders>
              <w:top w:val="nil"/>
              <w:bottom w:val="nil"/>
            </w:tcBorders>
            <w:vAlign w:val="center"/>
          </w:tcPr>
          <w:p w14:paraId="34EBA2F9"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85</w:t>
            </w:r>
          </w:p>
        </w:tc>
        <w:tc>
          <w:tcPr>
            <w:tcW w:w="1098" w:type="dxa"/>
            <w:tcBorders>
              <w:top w:val="nil"/>
              <w:bottom w:val="nil"/>
            </w:tcBorders>
            <w:vAlign w:val="center"/>
          </w:tcPr>
          <w:p w14:paraId="4ED80C04" w14:textId="77777777" w:rsidR="00894711" w:rsidRPr="00894711" w:rsidRDefault="00894711" w:rsidP="00894711">
            <w:pPr>
              <w:jc w:val="center"/>
              <w:rPr>
                <w:rFonts w:ascii="Cambria" w:hAnsi="Cambria" w:cstheme="majorBidi"/>
              </w:rPr>
            </w:pPr>
            <w:r w:rsidRPr="00894711">
              <w:rPr>
                <w:rFonts w:ascii="Cambria" w:hAnsi="Cambria" w:cstheme="majorBidi"/>
              </w:rPr>
              <w:t>0,90</w:t>
            </w:r>
          </w:p>
        </w:tc>
        <w:tc>
          <w:tcPr>
            <w:tcW w:w="1659" w:type="dxa"/>
            <w:tcBorders>
              <w:top w:val="nil"/>
              <w:bottom w:val="nil"/>
            </w:tcBorders>
            <w:vAlign w:val="center"/>
          </w:tcPr>
          <w:p w14:paraId="5151C776" w14:textId="77777777" w:rsidR="00894711" w:rsidRPr="00894711" w:rsidRDefault="00894711" w:rsidP="00894711">
            <w:pPr>
              <w:jc w:val="center"/>
              <w:rPr>
                <w:rFonts w:ascii="Cambria" w:hAnsi="Cambria" w:cstheme="majorBidi"/>
              </w:rPr>
            </w:pPr>
            <w:r w:rsidRPr="00894711">
              <w:rPr>
                <w:rFonts w:ascii="Cambria" w:hAnsi="Cambria" w:cstheme="majorBidi"/>
              </w:rPr>
              <w:t>0,816308</w:t>
            </w:r>
          </w:p>
        </w:tc>
        <w:tc>
          <w:tcPr>
            <w:tcW w:w="1614" w:type="dxa"/>
            <w:tcBorders>
              <w:top w:val="nil"/>
              <w:bottom w:val="nil"/>
            </w:tcBorders>
            <w:vAlign w:val="center"/>
          </w:tcPr>
          <w:p w14:paraId="495DDF78" w14:textId="77777777" w:rsidR="00894711" w:rsidRPr="00894711" w:rsidRDefault="00894711" w:rsidP="00894711">
            <w:pPr>
              <w:jc w:val="center"/>
              <w:rPr>
                <w:rFonts w:ascii="Cambria" w:hAnsi="Cambria" w:cstheme="majorBidi"/>
              </w:rPr>
            </w:pPr>
            <w:r w:rsidRPr="00894711">
              <w:rPr>
                <w:rFonts w:ascii="Cambria" w:hAnsi="Cambria" w:cstheme="majorBidi"/>
              </w:rPr>
              <w:t>0,928571</w:t>
            </w:r>
          </w:p>
        </w:tc>
        <w:tc>
          <w:tcPr>
            <w:tcW w:w="1930" w:type="dxa"/>
            <w:tcBorders>
              <w:top w:val="nil"/>
              <w:bottom w:val="nil"/>
            </w:tcBorders>
            <w:vAlign w:val="center"/>
          </w:tcPr>
          <w:p w14:paraId="3152E41F"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3E82667A" w14:textId="77777777" w:rsidTr="00E73401">
        <w:trPr>
          <w:trHeight w:val="340"/>
        </w:trPr>
        <w:tc>
          <w:tcPr>
            <w:tcW w:w="763" w:type="dxa"/>
            <w:tcBorders>
              <w:top w:val="nil"/>
              <w:bottom w:val="nil"/>
            </w:tcBorders>
            <w:vAlign w:val="center"/>
          </w:tcPr>
          <w:p w14:paraId="1263F5F9" w14:textId="77777777" w:rsidR="00894711" w:rsidRPr="00894711" w:rsidRDefault="00894711" w:rsidP="00894711">
            <w:pPr>
              <w:jc w:val="center"/>
              <w:rPr>
                <w:rFonts w:ascii="Cambria" w:hAnsi="Cambria" w:cstheme="majorBidi"/>
              </w:rPr>
            </w:pPr>
            <w:r w:rsidRPr="00894711">
              <w:rPr>
                <w:rFonts w:ascii="Cambria" w:hAnsi="Cambria" w:cstheme="majorBidi"/>
              </w:rPr>
              <w:lastRenderedPageBreak/>
              <w:t>24.</w:t>
            </w:r>
          </w:p>
        </w:tc>
        <w:tc>
          <w:tcPr>
            <w:tcW w:w="839" w:type="dxa"/>
            <w:tcBorders>
              <w:top w:val="nil"/>
              <w:bottom w:val="nil"/>
            </w:tcBorders>
            <w:vAlign w:val="center"/>
          </w:tcPr>
          <w:p w14:paraId="1FE00D67"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85</w:t>
            </w:r>
          </w:p>
        </w:tc>
        <w:tc>
          <w:tcPr>
            <w:tcW w:w="1098" w:type="dxa"/>
            <w:tcBorders>
              <w:top w:val="nil"/>
              <w:bottom w:val="nil"/>
            </w:tcBorders>
            <w:vAlign w:val="center"/>
          </w:tcPr>
          <w:p w14:paraId="716EE7E1" w14:textId="77777777" w:rsidR="00894711" w:rsidRPr="00894711" w:rsidRDefault="00894711" w:rsidP="00894711">
            <w:pPr>
              <w:jc w:val="center"/>
              <w:rPr>
                <w:rFonts w:ascii="Cambria" w:hAnsi="Cambria" w:cstheme="majorBidi"/>
              </w:rPr>
            </w:pPr>
            <w:r w:rsidRPr="00894711">
              <w:rPr>
                <w:rFonts w:ascii="Cambria" w:hAnsi="Cambria" w:cstheme="majorBidi"/>
              </w:rPr>
              <w:t>0,90</w:t>
            </w:r>
          </w:p>
        </w:tc>
        <w:tc>
          <w:tcPr>
            <w:tcW w:w="1659" w:type="dxa"/>
            <w:tcBorders>
              <w:top w:val="nil"/>
              <w:bottom w:val="nil"/>
            </w:tcBorders>
            <w:vAlign w:val="center"/>
          </w:tcPr>
          <w:p w14:paraId="46C29D2C" w14:textId="77777777" w:rsidR="00894711" w:rsidRPr="00894711" w:rsidRDefault="00894711" w:rsidP="00894711">
            <w:pPr>
              <w:jc w:val="center"/>
              <w:rPr>
                <w:rFonts w:ascii="Cambria" w:hAnsi="Cambria" w:cstheme="majorBidi"/>
              </w:rPr>
            </w:pPr>
            <w:r w:rsidRPr="00894711">
              <w:rPr>
                <w:rFonts w:ascii="Cambria" w:hAnsi="Cambria" w:cstheme="majorBidi"/>
              </w:rPr>
              <w:t>0,816308</w:t>
            </w:r>
          </w:p>
        </w:tc>
        <w:tc>
          <w:tcPr>
            <w:tcW w:w="1614" w:type="dxa"/>
            <w:tcBorders>
              <w:top w:val="nil"/>
              <w:bottom w:val="nil"/>
            </w:tcBorders>
            <w:vAlign w:val="center"/>
          </w:tcPr>
          <w:p w14:paraId="33147355" w14:textId="77777777" w:rsidR="00894711" w:rsidRPr="00894711" w:rsidRDefault="00894711" w:rsidP="00894711">
            <w:pPr>
              <w:jc w:val="center"/>
              <w:rPr>
                <w:rFonts w:ascii="Cambria" w:hAnsi="Cambria" w:cstheme="majorBidi"/>
              </w:rPr>
            </w:pPr>
            <w:r w:rsidRPr="00894711">
              <w:rPr>
                <w:rFonts w:ascii="Cambria" w:hAnsi="Cambria" w:cstheme="majorBidi"/>
              </w:rPr>
              <w:t>0,928571</w:t>
            </w:r>
          </w:p>
        </w:tc>
        <w:tc>
          <w:tcPr>
            <w:tcW w:w="1930" w:type="dxa"/>
            <w:tcBorders>
              <w:top w:val="nil"/>
              <w:bottom w:val="nil"/>
            </w:tcBorders>
            <w:vAlign w:val="center"/>
          </w:tcPr>
          <w:p w14:paraId="32994F42"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14C7200E" w14:textId="77777777" w:rsidTr="00E73401">
        <w:trPr>
          <w:trHeight w:val="340"/>
        </w:trPr>
        <w:tc>
          <w:tcPr>
            <w:tcW w:w="763" w:type="dxa"/>
            <w:tcBorders>
              <w:top w:val="nil"/>
              <w:bottom w:val="nil"/>
            </w:tcBorders>
            <w:vAlign w:val="center"/>
          </w:tcPr>
          <w:p w14:paraId="2BA22572" w14:textId="77777777" w:rsidR="00894711" w:rsidRPr="00894711" w:rsidRDefault="00894711" w:rsidP="00894711">
            <w:pPr>
              <w:jc w:val="center"/>
              <w:rPr>
                <w:rFonts w:ascii="Cambria" w:hAnsi="Cambria" w:cstheme="majorBidi"/>
              </w:rPr>
            </w:pPr>
            <w:r w:rsidRPr="00894711">
              <w:rPr>
                <w:rFonts w:ascii="Cambria" w:hAnsi="Cambria" w:cstheme="majorBidi"/>
              </w:rPr>
              <w:t>25.</w:t>
            </w:r>
          </w:p>
        </w:tc>
        <w:tc>
          <w:tcPr>
            <w:tcW w:w="839" w:type="dxa"/>
            <w:tcBorders>
              <w:top w:val="nil"/>
              <w:bottom w:val="nil"/>
            </w:tcBorders>
            <w:vAlign w:val="center"/>
          </w:tcPr>
          <w:p w14:paraId="06835910"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85</w:t>
            </w:r>
          </w:p>
        </w:tc>
        <w:tc>
          <w:tcPr>
            <w:tcW w:w="1098" w:type="dxa"/>
            <w:tcBorders>
              <w:top w:val="nil"/>
              <w:bottom w:val="nil"/>
            </w:tcBorders>
            <w:vAlign w:val="center"/>
          </w:tcPr>
          <w:p w14:paraId="77FC7BB3" w14:textId="77777777" w:rsidR="00894711" w:rsidRPr="00894711" w:rsidRDefault="00894711" w:rsidP="00894711">
            <w:pPr>
              <w:jc w:val="center"/>
              <w:rPr>
                <w:rFonts w:ascii="Cambria" w:hAnsi="Cambria" w:cstheme="majorBidi"/>
              </w:rPr>
            </w:pPr>
            <w:r w:rsidRPr="00894711">
              <w:rPr>
                <w:rFonts w:ascii="Cambria" w:hAnsi="Cambria" w:cstheme="majorBidi"/>
              </w:rPr>
              <w:t>0,90</w:t>
            </w:r>
          </w:p>
        </w:tc>
        <w:tc>
          <w:tcPr>
            <w:tcW w:w="1659" w:type="dxa"/>
            <w:tcBorders>
              <w:top w:val="nil"/>
              <w:bottom w:val="nil"/>
            </w:tcBorders>
            <w:vAlign w:val="center"/>
          </w:tcPr>
          <w:p w14:paraId="2C226768" w14:textId="77777777" w:rsidR="00894711" w:rsidRPr="00894711" w:rsidRDefault="00894711" w:rsidP="00894711">
            <w:pPr>
              <w:jc w:val="center"/>
              <w:rPr>
                <w:rFonts w:ascii="Cambria" w:hAnsi="Cambria" w:cstheme="majorBidi"/>
              </w:rPr>
            </w:pPr>
            <w:r w:rsidRPr="00894711">
              <w:rPr>
                <w:rFonts w:ascii="Cambria" w:hAnsi="Cambria" w:cstheme="majorBidi"/>
              </w:rPr>
              <w:t>0,816308</w:t>
            </w:r>
          </w:p>
        </w:tc>
        <w:tc>
          <w:tcPr>
            <w:tcW w:w="1614" w:type="dxa"/>
            <w:tcBorders>
              <w:top w:val="nil"/>
              <w:bottom w:val="nil"/>
            </w:tcBorders>
            <w:vAlign w:val="center"/>
          </w:tcPr>
          <w:p w14:paraId="3EE5D17B" w14:textId="77777777" w:rsidR="00894711" w:rsidRPr="00894711" w:rsidRDefault="00894711" w:rsidP="00894711">
            <w:pPr>
              <w:jc w:val="center"/>
              <w:rPr>
                <w:rFonts w:ascii="Cambria" w:hAnsi="Cambria" w:cstheme="majorBidi"/>
              </w:rPr>
            </w:pPr>
            <w:r w:rsidRPr="00894711">
              <w:rPr>
                <w:rFonts w:ascii="Cambria" w:hAnsi="Cambria" w:cstheme="majorBidi"/>
              </w:rPr>
              <w:t>0,928571</w:t>
            </w:r>
          </w:p>
        </w:tc>
        <w:tc>
          <w:tcPr>
            <w:tcW w:w="1930" w:type="dxa"/>
            <w:tcBorders>
              <w:top w:val="nil"/>
              <w:bottom w:val="nil"/>
            </w:tcBorders>
            <w:vAlign w:val="center"/>
          </w:tcPr>
          <w:p w14:paraId="11A22737"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0A7E0A64" w14:textId="77777777" w:rsidTr="00E73401">
        <w:trPr>
          <w:trHeight w:val="340"/>
        </w:trPr>
        <w:tc>
          <w:tcPr>
            <w:tcW w:w="763" w:type="dxa"/>
            <w:tcBorders>
              <w:top w:val="nil"/>
              <w:bottom w:val="nil"/>
            </w:tcBorders>
            <w:vAlign w:val="center"/>
          </w:tcPr>
          <w:p w14:paraId="36257FF8" w14:textId="77777777" w:rsidR="00894711" w:rsidRPr="00894711" w:rsidRDefault="00894711" w:rsidP="00894711">
            <w:pPr>
              <w:jc w:val="center"/>
              <w:rPr>
                <w:rFonts w:ascii="Cambria" w:hAnsi="Cambria" w:cstheme="majorBidi"/>
              </w:rPr>
            </w:pPr>
            <w:r w:rsidRPr="00894711">
              <w:rPr>
                <w:rFonts w:ascii="Cambria" w:hAnsi="Cambria" w:cstheme="majorBidi"/>
              </w:rPr>
              <w:t>26.</w:t>
            </w:r>
          </w:p>
        </w:tc>
        <w:tc>
          <w:tcPr>
            <w:tcW w:w="839" w:type="dxa"/>
            <w:tcBorders>
              <w:top w:val="nil"/>
              <w:bottom w:val="nil"/>
            </w:tcBorders>
            <w:vAlign w:val="center"/>
          </w:tcPr>
          <w:p w14:paraId="57AB207D"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85</w:t>
            </w:r>
          </w:p>
        </w:tc>
        <w:tc>
          <w:tcPr>
            <w:tcW w:w="1098" w:type="dxa"/>
            <w:tcBorders>
              <w:top w:val="nil"/>
              <w:bottom w:val="nil"/>
            </w:tcBorders>
            <w:vAlign w:val="center"/>
          </w:tcPr>
          <w:p w14:paraId="5B0A3B9E" w14:textId="77777777" w:rsidR="00894711" w:rsidRPr="00894711" w:rsidRDefault="00894711" w:rsidP="00894711">
            <w:pPr>
              <w:jc w:val="center"/>
              <w:rPr>
                <w:rFonts w:ascii="Cambria" w:hAnsi="Cambria" w:cstheme="majorBidi"/>
              </w:rPr>
            </w:pPr>
            <w:r w:rsidRPr="00894711">
              <w:rPr>
                <w:rFonts w:ascii="Cambria" w:hAnsi="Cambria" w:cstheme="majorBidi"/>
              </w:rPr>
              <w:t>0,90</w:t>
            </w:r>
          </w:p>
        </w:tc>
        <w:tc>
          <w:tcPr>
            <w:tcW w:w="1659" w:type="dxa"/>
            <w:tcBorders>
              <w:top w:val="nil"/>
              <w:bottom w:val="nil"/>
            </w:tcBorders>
            <w:vAlign w:val="center"/>
          </w:tcPr>
          <w:p w14:paraId="329DFEEE" w14:textId="77777777" w:rsidR="00894711" w:rsidRPr="00894711" w:rsidRDefault="00894711" w:rsidP="00894711">
            <w:pPr>
              <w:jc w:val="center"/>
              <w:rPr>
                <w:rFonts w:ascii="Cambria" w:hAnsi="Cambria" w:cstheme="majorBidi"/>
              </w:rPr>
            </w:pPr>
            <w:r w:rsidRPr="00894711">
              <w:rPr>
                <w:rFonts w:ascii="Cambria" w:hAnsi="Cambria" w:cstheme="majorBidi"/>
              </w:rPr>
              <w:t>0,816308</w:t>
            </w:r>
          </w:p>
        </w:tc>
        <w:tc>
          <w:tcPr>
            <w:tcW w:w="1614" w:type="dxa"/>
            <w:tcBorders>
              <w:top w:val="nil"/>
              <w:bottom w:val="nil"/>
            </w:tcBorders>
            <w:vAlign w:val="center"/>
          </w:tcPr>
          <w:p w14:paraId="7249C4D4" w14:textId="77777777" w:rsidR="00894711" w:rsidRPr="00894711" w:rsidRDefault="00894711" w:rsidP="00894711">
            <w:pPr>
              <w:jc w:val="center"/>
              <w:rPr>
                <w:rFonts w:ascii="Cambria" w:hAnsi="Cambria" w:cstheme="majorBidi"/>
              </w:rPr>
            </w:pPr>
            <w:r w:rsidRPr="00894711">
              <w:rPr>
                <w:rFonts w:ascii="Cambria" w:hAnsi="Cambria" w:cstheme="majorBidi"/>
              </w:rPr>
              <w:t>0,928571</w:t>
            </w:r>
          </w:p>
        </w:tc>
        <w:tc>
          <w:tcPr>
            <w:tcW w:w="1930" w:type="dxa"/>
            <w:tcBorders>
              <w:top w:val="nil"/>
              <w:bottom w:val="nil"/>
            </w:tcBorders>
            <w:vAlign w:val="center"/>
          </w:tcPr>
          <w:p w14:paraId="1310E717" w14:textId="77777777" w:rsidR="00894711" w:rsidRPr="00894711" w:rsidRDefault="00894711" w:rsidP="00894711">
            <w:pPr>
              <w:jc w:val="center"/>
              <w:rPr>
                <w:rFonts w:ascii="Cambria" w:hAnsi="Cambria" w:cstheme="majorBidi"/>
              </w:rPr>
            </w:pPr>
            <w:r w:rsidRPr="00894711">
              <w:rPr>
                <w:rFonts w:ascii="Cambria" w:hAnsi="Cambria" w:cstheme="majorBidi"/>
              </w:rPr>
              <w:t>0,1275112</w:t>
            </w:r>
          </w:p>
        </w:tc>
      </w:tr>
      <w:tr w:rsidR="00894711" w:rsidRPr="00894711" w14:paraId="6DB5327D" w14:textId="77777777" w:rsidTr="00E73401">
        <w:trPr>
          <w:trHeight w:val="340"/>
        </w:trPr>
        <w:tc>
          <w:tcPr>
            <w:tcW w:w="763" w:type="dxa"/>
            <w:tcBorders>
              <w:top w:val="nil"/>
              <w:bottom w:val="nil"/>
            </w:tcBorders>
            <w:vAlign w:val="center"/>
          </w:tcPr>
          <w:p w14:paraId="2061582D" w14:textId="77777777" w:rsidR="00894711" w:rsidRPr="00894711" w:rsidRDefault="00894711" w:rsidP="00894711">
            <w:pPr>
              <w:jc w:val="center"/>
              <w:rPr>
                <w:rFonts w:ascii="Cambria" w:hAnsi="Cambria" w:cstheme="majorBidi"/>
              </w:rPr>
            </w:pPr>
            <w:r w:rsidRPr="00894711">
              <w:rPr>
                <w:rFonts w:ascii="Cambria" w:hAnsi="Cambria" w:cstheme="majorBidi"/>
              </w:rPr>
              <w:t>27.</w:t>
            </w:r>
          </w:p>
        </w:tc>
        <w:tc>
          <w:tcPr>
            <w:tcW w:w="839" w:type="dxa"/>
            <w:tcBorders>
              <w:top w:val="nil"/>
              <w:bottom w:val="nil"/>
            </w:tcBorders>
            <w:vAlign w:val="center"/>
          </w:tcPr>
          <w:p w14:paraId="51807284"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90</w:t>
            </w:r>
          </w:p>
        </w:tc>
        <w:tc>
          <w:tcPr>
            <w:tcW w:w="1098" w:type="dxa"/>
            <w:tcBorders>
              <w:top w:val="nil"/>
              <w:bottom w:val="nil"/>
            </w:tcBorders>
            <w:vAlign w:val="center"/>
          </w:tcPr>
          <w:p w14:paraId="47B60652" w14:textId="77777777" w:rsidR="00894711" w:rsidRPr="00894711" w:rsidRDefault="00894711" w:rsidP="00894711">
            <w:pPr>
              <w:jc w:val="center"/>
              <w:rPr>
                <w:rFonts w:ascii="Cambria" w:hAnsi="Cambria" w:cstheme="majorBidi"/>
              </w:rPr>
            </w:pPr>
            <w:r w:rsidRPr="00894711">
              <w:rPr>
                <w:rFonts w:ascii="Cambria" w:hAnsi="Cambria" w:cstheme="majorBidi"/>
              </w:rPr>
              <w:t>1,58</w:t>
            </w:r>
          </w:p>
        </w:tc>
        <w:tc>
          <w:tcPr>
            <w:tcW w:w="1659" w:type="dxa"/>
            <w:tcBorders>
              <w:top w:val="nil"/>
              <w:bottom w:val="nil"/>
            </w:tcBorders>
            <w:vAlign w:val="center"/>
          </w:tcPr>
          <w:p w14:paraId="2D1D65DC" w14:textId="77777777" w:rsidR="00894711" w:rsidRPr="00894711" w:rsidRDefault="00894711" w:rsidP="00894711">
            <w:pPr>
              <w:jc w:val="center"/>
              <w:rPr>
                <w:rFonts w:ascii="Cambria" w:hAnsi="Cambria" w:cstheme="majorBidi"/>
              </w:rPr>
            </w:pPr>
            <w:r w:rsidRPr="00894711">
              <w:rPr>
                <w:rFonts w:ascii="Cambria" w:hAnsi="Cambria" w:cstheme="majorBidi"/>
              </w:rPr>
              <w:t>0,943348</w:t>
            </w:r>
          </w:p>
        </w:tc>
        <w:tc>
          <w:tcPr>
            <w:tcW w:w="1614" w:type="dxa"/>
            <w:tcBorders>
              <w:top w:val="nil"/>
              <w:bottom w:val="nil"/>
            </w:tcBorders>
            <w:vAlign w:val="center"/>
          </w:tcPr>
          <w:p w14:paraId="5BD97C3E" w14:textId="77777777" w:rsidR="00894711" w:rsidRPr="00894711" w:rsidRDefault="00894711" w:rsidP="00894711">
            <w:pPr>
              <w:jc w:val="center"/>
              <w:rPr>
                <w:rFonts w:ascii="Cambria" w:hAnsi="Cambria" w:cstheme="majorBidi"/>
              </w:rPr>
            </w:pPr>
            <w:r w:rsidRPr="00894711">
              <w:rPr>
                <w:rFonts w:ascii="Cambria" w:hAnsi="Cambria" w:cstheme="majorBidi"/>
              </w:rPr>
              <w:t>1</w:t>
            </w:r>
          </w:p>
        </w:tc>
        <w:tc>
          <w:tcPr>
            <w:tcW w:w="1930" w:type="dxa"/>
            <w:tcBorders>
              <w:top w:val="nil"/>
              <w:bottom w:val="nil"/>
            </w:tcBorders>
            <w:vAlign w:val="center"/>
          </w:tcPr>
          <w:p w14:paraId="41802FC3" w14:textId="77777777" w:rsidR="00894711" w:rsidRPr="00894711" w:rsidRDefault="00894711" w:rsidP="00894711">
            <w:pPr>
              <w:jc w:val="center"/>
              <w:rPr>
                <w:rFonts w:ascii="Cambria" w:hAnsi="Cambria" w:cstheme="majorBidi"/>
              </w:rPr>
            </w:pPr>
            <w:r w:rsidRPr="00894711">
              <w:rPr>
                <w:rFonts w:ascii="Cambria" w:hAnsi="Cambria" w:cstheme="majorBidi"/>
              </w:rPr>
              <w:t>0,0566524</w:t>
            </w:r>
          </w:p>
        </w:tc>
      </w:tr>
      <w:tr w:rsidR="00894711" w:rsidRPr="00894711" w14:paraId="614BBB6F" w14:textId="77777777" w:rsidTr="00E73401">
        <w:trPr>
          <w:trHeight w:val="340"/>
        </w:trPr>
        <w:tc>
          <w:tcPr>
            <w:tcW w:w="763" w:type="dxa"/>
            <w:tcBorders>
              <w:top w:val="nil"/>
            </w:tcBorders>
            <w:vAlign w:val="center"/>
          </w:tcPr>
          <w:p w14:paraId="5B5EDFC4" w14:textId="77777777" w:rsidR="00894711" w:rsidRPr="00894711" w:rsidRDefault="00894711" w:rsidP="00894711">
            <w:pPr>
              <w:jc w:val="center"/>
              <w:rPr>
                <w:rFonts w:ascii="Cambria" w:hAnsi="Cambria" w:cstheme="majorBidi"/>
              </w:rPr>
            </w:pPr>
            <w:r w:rsidRPr="00894711">
              <w:rPr>
                <w:rFonts w:ascii="Cambria" w:hAnsi="Cambria" w:cstheme="majorBidi"/>
              </w:rPr>
              <w:t>28.</w:t>
            </w:r>
          </w:p>
        </w:tc>
        <w:tc>
          <w:tcPr>
            <w:tcW w:w="839" w:type="dxa"/>
            <w:tcBorders>
              <w:top w:val="nil"/>
            </w:tcBorders>
            <w:vAlign w:val="center"/>
          </w:tcPr>
          <w:p w14:paraId="61BB53DE" w14:textId="77777777" w:rsidR="00894711" w:rsidRPr="00894711" w:rsidRDefault="00894711" w:rsidP="00894711">
            <w:pPr>
              <w:contextualSpacing/>
              <w:jc w:val="center"/>
              <w:rPr>
                <w:rFonts w:ascii="Cambria" w:hAnsi="Cambria" w:cstheme="majorBidi"/>
              </w:rPr>
            </w:pPr>
            <w:r w:rsidRPr="00894711">
              <w:rPr>
                <w:rFonts w:ascii="Cambria" w:hAnsi="Cambria" w:cstheme="majorBidi"/>
              </w:rPr>
              <w:t>90</w:t>
            </w:r>
          </w:p>
        </w:tc>
        <w:tc>
          <w:tcPr>
            <w:tcW w:w="1098" w:type="dxa"/>
            <w:tcBorders>
              <w:top w:val="nil"/>
            </w:tcBorders>
            <w:vAlign w:val="center"/>
          </w:tcPr>
          <w:p w14:paraId="6A8D5A8A" w14:textId="77777777" w:rsidR="00894711" w:rsidRPr="00894711" w:rsidRDefault="00894711" w:rsidP="00894711">
            <w:pPr>
              <w:jc w:val="center"/>
              <w:rPr>
                <w:rFonts w:ascii="Cambria" w:hAnsi="Cambria" w:cstheme="majorBidi"/>
              </w:rPr>
            </w:pPr>
            <w:r w:rsidRPr="00894711">
              <w:rPr>
                <w:rFonts w:ascii="Cambria" w:hAnsi="Cambria" w:cstheme="majorBidi"/>
              </w:rPr>
              <w:t>1,58</w:t>
            </w:r>
          </w:p>
        </w:tc>
        <w:tc>
          <w:tcPr>
            <w:tcW w:w="1659" w:type="dxa"/>
            <w:tcBorders>
              <w:top w:val="nil"/>
            </w:tcBorders>
            <w:vAlign w:val="center"/>
          </w:tcPr>
          <w:p w14:paraId="4BD759BE" w14:textId="77777777" w:rsidR="00894711" w:rsidRPr="00894711" w:rsidRDefault="00894711" w:rsidP="00894711">
            <w:pPr>
              <w:jc w:val="center"/>
              <w:rPr>
                <w:rFonts w:ascii="Cambria" w:hAnsi="Cambria" w:cstheme="majorBidi"/>
              </w:rPr>
            </w:pPr>
            <w:r w:rsidRPr="00894711">
              <w:rPr>
                <w:rFonts w:ascii="Cambria" w:hAnsi="Cambria" w:cstheme="majorBidi"/>
              </w:rPr>
              <w:t>0,943348</w:t>
            </w:r>
          </w:p>
        </w:tc>
        <w:tc>
          <w:tcPr>
            <w:tcW w:w="1614" w:type="dxa"/>
            <w:tcBorders>
              <w:top w:val="nil"/>
            </w:tcBorders>
            <w:vAlign w:val="center"/>
          </w:tcPr>
          <w:p w14:paraId="1F9AA04C" w14:textId="77777777" w:rsidR="00894711" w:rsidRPr="00894711" w:rsidRDefault="00894711" w:rsidP="00894711">
            <w:pPr>
              <w:jc w:val="center"/>
              <w:rPr>
                <w:rFonts w:ascii="Cambria" w:hAnsi="Cambria" w:cstheme="majorBidi"/>
              </w:rPr>
            </w:pPr>
            <w:r w:rsidRPr="00894711">
              <w:rPr>
                <w:rFonts w:ascii="Cambria" w:hAnsi="Cambria" w:cstheme="majorBidi"/>
              </w:rPr>
              <w:t>1</w:t>
            </w:r>
          </w:p>
        </w:tc>
        <w:tc>
          <w:tcPr>
            <w:tcW w:w="1930" w:type="dxa"/>
            <w:tcBorders>
              <w:top w:val="nil"/>
            </w:tcBorders>
            <w:vAlign w:val="center"/>
          </w:tcPr>
          <w:p w14:paraId="0A044806" w14:textId="77777777" w:rsidR="00894711" w:rsidRPr="00894711" w:rsidRDefault="00894711" w:rsidP="00894711">
            <w:pPr>
              <w:jc w:val="center"/>
              <w:rPr>
                <w:rFonts w:ascii="Cambria" w:hAnsi="Cambria" w:cstheme="majorBidi"/>
              </w:rPr>
            </w:pPr>
            <w:r w:rsidRPr="00894711">
              <w:rPr>
                <w:rFonts w:ascii="Cambria" w:hAnsi="Cambria" w:cstheme="majorBidi"/>
              </w:rPr>
              <w:t>0,0566524</w:t>
            </w:r>
          </w:p>
        </w:tc>
      </w:tr>
      <w:tr w:rsidR="00894711" w:rsidRPr="00894711" w14:paraId="1BD4D792" w14:textId="77777777" w:rsidTr="00E73401">
        <w:trPr>
          <w:trHeight w:val="397"/>
        </w:trPr>
        <w:tc>
          <w:tcPr>
            <w:tcW w:w="763" w:type="dxa"/>
            <w:vAlign w:val="center"/>
          </w:tcPr>
          <w:p w14:paraId="31628670" w14:textId="77777777" w:rsidR="00894711" w:rsidRPr="00894711" w:rsidRDefault="00894711" w:rsidP="00894711">
            <w:pPr>
              <w:jc w:val="center"/>
              <w:rPr>
                <w:rFonts w:ascii="Cambria" w:hAnsi="Cambria" w:cstheme="majorBidi"/>
                <w:b/>
                <w:bCs/>
              </w:rPr>
            </w:pPr>
            <w:r w:rsidRPr="00894711">
              <w:rPr>
                <w:rFonts w:ascii="Cambria" w:hAnsi="Cambria" w:cstheme="majorBidi"/>
                <w:b/>
                <w:bCs/>
              </w:rPr>
              <w:t>Total</w:t>
            </w:r>
          </w:p>
        </w:tc>
        <w:tc>
          <w:tcPr>
            <w:tcW w:w="839" w:type="dxa"/>
            <w:vAlign w:val="center"/>
          </w:tcPr>
          <w:p w14:paraId="2BCC4CDB" w14:textId="77777777" w:rsidR="00894711" w:rsidRPr="00894711" w:rsidRDefault="00894711" w:rsidP="00894711">
            <w:pPr>
              <w:jc w:val="center"/>
              <w:rPr>
                <w:rFonts w:ascii="Cambria" w:hAnsi="Cambria" w:cstheme="majorBidi"/>
                <w:b/>
                <w:bCs/>
              </w:rPr>
            </w:pPr>
            <w:r w:rsidRPr="00894711">
              <w:rPr>
                <w:rFonts w:ascii="Cambria" w:hAnsi="Cambria" w:cstheme="majorBidi"/>
                <w:b/>
                <w:bCs/>
              </w:rPr>
              <w:t>2195</w:t>
            </w:r>
          </w:p>
        </w:tc>
        <w:tc>
          <w:tcPr>
            <w:tcW w:w="1098" w:type="dxa"/>
            <w:vAlign w:val="center"/>
          </w:tcPr>
          <w:p w14:paraId="57AD430D" w14:textId="77777777" w:rsidR="00894711" w:rsidRPr="00894711" w:rsidRDefault="00894711" w:rsidP="00894711">
            <w:pPr>
              <w:jc w:val="center"/>
              <w:rPr>
                <w:rFonts w:ascii="Cambria" w:hAnsi="Cambria" w:cstheme="majorBidi"/>
                <w:b/>
                <w:bCs/>
              </w:rPr>
            </w:pPr>
            <w:r w:rsidRPr="00894711">
              <w:rPr>
                <w:rFonts w:ascii="Cambria" w:hAnsi="Cambria" w:cstheme="majorBidi"/>
                <w:b/>
                <w:bCs/>
              </w:rPr>
              <w:t>-0,01</w:t>
            </w:r>
          </w:p>
        </w:tc>
        <w:tc>
          <w:tcPr>
            <w:tcW w:w="1659" w:type="dxa"/>
            <w:vAlign w:val="center"/>
          </w:tcPr>
          <w:p w14:paraId="2CF22D3B" w14:textId="77777777" w:rsidR="00894711" w:rsidRPr="00894711" w:rsidRDefault="00894711" w:rsidP="00894711">
            <w:pPr>
              <w:jc w:val="center"/>
              <w:rPr>
                <w:rFonts w:ascii="Cambria" w:hAnsi="Cambria" w:cstheme="majorBidi"/>
                <w:b/>
                <w:bCs/>
              </w:rPr>
            </w:pPr>
            <w:r w:rsidRPr="00894711">
              <w:rPr>
                <w:rFonts w:ascii="Cambria" w:hAnsi="Cambria" w:cstheme="majorBidi"/>
                <w:b/>
                <w:bCs/>
              </w:rPr>
              <w:t>14,55787</w:t>
            </w:r>
          </w:p>
        </w:tc>
        <w:tc>
          <w:tcPr>
            <w:tcW w:w="1614" w:type="dxa"/>
            <w:vAlign w:val="center"/>
          </w:tcPr>
          <w:p w14:paraId="61BDEC4D" w14:textId="77777777" w:rsidR="00894711" w:rsidRPr="00894711" w:rsidRDefault="00894711" w:rsidP="00894711">
            <w:pPr>
              <w:jc w:val="center"/>
              <w:rPr>
                <w:rFonts w:ascii="Cambria" w:hAnsi="Cambria" w:cstheme="majorBidi"/>
                <w:b/>
                <w:bCs/>
              </w:rPr>
            </w:pPr>
            <w:r w:rsidRPr="00894711">
              <w:rPr>
                <w:rFonts w:ascii="Cambria" w:hAnsi="Cambria" w:cstheme="majorBidi"/>
                <w:b/>
                <w:bCs/>
              </w:rPr>
              <w:t>17,89286</w:t>
            </w:r>
          </w:p>
        </w:tc>
        <w:tc>
          <w:tcPr>
            <w:tcW w:w="1930" w:type="dxa"/>
            <w:vAlign w:val="center"/>
          </w:tcPr>
          <w:p w14:paraId="4E1F24D5" w14:textId="77777777" w:rsidR="00894711" w:rsidRPr="00894711" w:rsidRDefault="00894711" w:rsidP="00894711">
            <w:pPr>
              <w:jc w:val="center"/>
              <w:rPr>
                <w:rFonts w:ascii="Cambria" w:hAnsi="Cambria" w:cstheme="majorBidi"/>
                <w:b/>
                <w:bCs/>
              </w:rPr>
            </w:pPr>
            <w:r w:rsidRPr="00894711">
              <w:rPr>
                <w:rFonts w:ascii="Cambria" w:hAnsi="Cambria" w:cstheme="majorBidi"/>
                <w:b/>
                <w:bCs/>
              </w:rPr>
              <w:t>3,426464</w:t>
            </w:r>
          </w:p>
        </w:tc>
      </w:tr>
    </w:tbl>
    <w:p w14:paraId="17A4B01C" w14:textId="77777777" w:rsidR="00894711" w:rsidRDefault="00894711" w:rsidP="00894711">
      <w:pPr>
        <w:pStyle w:val="92ParagrafKedua"/>
      </w:pPr>
    </w:p>
    <w:p w14:paraId="02A75F43" w14:textId="32599DD6" w:rsidR="00894711" w:rsidRDefault="00894711" w:rsidP="00843549">
      <w:pPr>
        <w:pStyle w:val="92ParagrafKedua"/>
      </w:pPr>
      <w:r w:rsidRPr="00894711">
        <w:t xml:space="preserve">In view of the table, it is obtained that </w:t>
      </w:r>
      <w:r w:rsidRPr="00894711">
        <w:rPr>
          <w:i/>
          <w:iCs/>
        </w:rPr>
        <w:t>L</w:t>
      </w:r>
      <w:r w:rsidRPr="00894711">
        <w:rPr>
          <w:i/>
          <w:iCs/>
          <w:vertAlign w:val="subscript"/>
        </w:rPr>
        <w:t>0</w:t>
      </w:r>
      <w:r w:rsidRPr="00894711">
        <w:t xml:space="preserve"> = 0,159 which the highest score of |F(zi)-S(zi)| with </w:t>
      </w:r>
      <w:r w:rsidRPr="00894711">
        <w:rPr>
          <w:i/>
          <w:iCs/>
        </w:rPr>
        <w:t>n</w:t>
      </w:r>
      <w:r w:rsidRPr="00894711">
        <w:t xml:space="preserve">= 28 and based on the significant standard </w:t>
      </w:r>
      <m:oMath>
        <m:r>
          <w:rPr>
            <w:rFonts w:ascii="Cambria Math" w:hAnsi="Cambria Math"/>
          </w:rPr>
          <m:t>α=0,05</m:t>
        </m:r>
      </m:oMath>
      <w:r w:rsidRPr="00894711">
        <w:t xml:space="preserve"> of the liliefors table, it is obtained that </w:t>
      </w:r>
      <w:proofErr w:type="spellStart"/>
      <w:r w:rsidRPr="00894711">
        <w:rPr>
          <w:i/>
          <w:iCs/>
        </w:rPr>
        <w:t>L</w:t>
      </w:r>
      <w:r w:rsidRPr="00894711">
        <w:rPr>
          <w:vertAlign w:val="subscript"/>
        </w:rPr>
        <w:t>table</w:t>
      </w:r>
      <w:proofErr w:type="spellEnd"/>
      <w:r w:rsidRPr="00894711">
        <w:t xml:space="preserve"> = 0,164. The data can be said normal if </w:t>
      </w:r>
      <w:r w:rsidRPr="00894711">
        <w:rPr>
          <w:i/>
          <w:iCs/>
        </w:rPr>
        <w:t>L</w:t>
      </w:r>
      <w:r w:rsidRPr="00894711">
        <w:rPr>
          <w:i/>
          <w:iCs/>
          <w:vertAlign w:val="subscript"/>
        </w:rPr>
        <w:t>0</w:t>
      </w:r>
      <w:r w:rsidRPr="00894711">
        <w:rPr>
          <w:vertAlign w:val="subscript"/>
        </w:rPr>
        <w:t xml:space="preserve"> </w:t>
      </w:r>
      <w:r w:rsidRPr="00894711">
        <w:t xml:space="preserve">&lt; </w:t>
      </w:r>
      <w:proofErr w:type="spellStart"/>
      <w:r w:rsidRPr="00894711">
        <w:rPr>
          <w:i/>
          <w:iCs/>
        </w:rPr>
        <w:t>L</w:t>
      </w:r>
      <w:r w:rsidRPr="00894711">
        <w:rPr>
          <w:vertAlign w:val="subscript"/>
        </w:rPr>
        <w:t>table</w:t>
      </w:r>
      <w:proofErr w:type="spellEnd"/>
      <w:r w:rsidRPr="00894711">
        <w:t xml:space="preserve"> while </w:t>
      </w:r>
      <w:r w:rsidRPr="00894711">
        <w:rPr>
          <w:i/>
          <w:iCs/>
        </w:rPr>
        <w:t>L</w:t>
      </w:r>
      <w:r w:rsidRPr="00894711">
        <w:rPr>
          <w:i/>
          <w:iCs/>
          <w:vertAlign w:val="subscript"/>
        </w:rPr>
        <w:t>0</w:t>
      </w:r>
      <w:r w:rsidRPr="00894711">
        <w:rPr>
          <w:vertAlign w:val="subscript"/>
        </w:rPr>
        <w:t xml:space="preserve"> </w:t>
      </w:r>
      <w:r w:rsidRPr="00894711">
        <w:t xml:space="preserve">&lt; </w:t>
      </w:r>
      <w:proofErr w:type="spellStart"/>
      <w:r w:rsidRPr="00894711">
        <w:rPr>
          <w:i/>
          <w:iCs/>
        </w:rPr>
        <w:t>L</w:t>
      </w:r>
      <w:r w:rsidRPr="00894711">
        <w:rPr>
          <w:vertAlign w:val="subscript"/>
        </w:rPr>
        <w:t>table</w:t>
      </w:r>
      <w:proofErr w:type="spellEnd"/>
      <w:r w:rsidRPr="00894711">
        <w:rPr>
          <w:vertAlign w:val="subscript"/>
        </w:rPr>
        <w:t xml:space="preserve"> </w:t>
      </w:r>
      <w:r w:rsidRPr="00894711">
        <w:t>that is 0,159 &lt; 0,164 can be concluded that data is normal.</w:t>
      </w:r>
    </w:p>
    <w:p w14:paraId="69FE4708" w14:textId="77777777" w:rsidR="00894711" w:rsidRDefault="00894711" w:rsidP="00894711">
      <w:pPr>
        <w:pStyle w:val="92ParagrafKedua"/>
      </w:pPr>
    </w:p>
    <w:p w14:paraId="59468DB1" w14:textId="77777777" w:rsidR="00894711" w:rsidRPr="00844B75" w:rsidRDefault="00894711" w:rsidP="00894711">
      <w:pPr>
        <w:pStyle w:val="94PenamaanTabel"/>
        <w:rPr>
          <w:b/>
        </w:rPr>
      </w:pPr>
      <w:r w:rsidRPr="00844B75">
        <w:rPr>
          <w:b/>
          <w:lang w:val="en-US"/>
        </w:rPr>
        <w:t xml:space="preserve">Table </w:t>
      </w:r>
      <w:r>
        <w:rPr>
          <w:b/>
          <w:lang w:val="en-US"/>
        </w:rPr>
        <w:t>3</w:t>
      </w:r>
      <w:r w:rsidRPr="00844B75">
        <w:rPr>
          <w:b/>
          <w:lang w:val="en-US"/>
        </w:rPr>
        <w:t xml:space="preserve">. </w:t>
      </w:r>
      <w:r w:rsidRPr="00844B75">
        <w:t>Normality Result of Post-test Control Class</w:t>
      </w:r>
    </w:p>
    <w:tbl>
      <w:tblPr>
        <w:tblStyle w:val="TableGrid2"/>
        <w:tblW w:w="0" w:type="auto"/>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763"/>
        <w:gridCol w:w="836"/>
        <w:gridCol w:w="1087"/>
        <w:gridCol w:w="1680"/>
        <w:gridCol w:w="1636"/>
        <w:gridCol w:w="1901"/>
      </w:tblGrid>
      <w:tr w:rsidR="00894711" w:rsidRPr="00894711" w14:paraId="50E87E6F" w14:textId="77777777" w:rsidTr="00E73401">
        <w:trPr>
          <w:trHeight w:val="397"/>
        </w:trPr>
        <w:tc>
          <w:tcPr>
            <w:tcW w:w="763" w:type="dxa"/>
            <w:tcBorders>
              <w:bottom w:val="single" w:sz="4" w:space="0" w:color="auto"/>
            </w:tcBorders>
            <w:vAlign w:val="center"/>
          </w:tcPr>
          <w:p w14:paraId="5B2F246C"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No.</w:t>
            </w:r>
          </w:p>
        </w:tc>
        <w:tc>
          <w:tcPr>
            <w:tcW w:w="836" w:type="dxa"/>
            <w:tcBorders>
              <w:bottom w:val="single" w:sz="4" w:space="0" w:color="auto"/>
            </w:tcBorders>
            <w:vAlign w:val="center"/>
          </w:tcPr>
          <w:p w14:paraId="3A9533A1"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Xi</w:t>
            </w:r>
          </w:p>
        </w:tc>
        <w:tc>
          <w:tcPr>
            <w:tcW w:w="1087" w:type="dxa"/>
            <w:tcBorders>
              <w:bottom w:val="single" w:sz="4" w:space="0" w:color="auto"/>
            </w:tcBorders>
            <w:vAlign w:val="center"/>
          </w:tcPr>
          <w:p w14:paraId="08EA6CA7"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Zi</w:t>
            </w:r>
          </w:p>
        </w:tc>
        <w:tc>
          <w:tcPr>
            <w:tcW w:w="1680" w:type="dxa"/>
            <w:tcBorders>
              <w:bottom w:val="single" w:sz="4" w:space="0" w:color="auto"/>
            </w:tcBorders>
            <w:vAlign w:val="center"/>
          </w:tcPr>
          <w:p w14:paraId="2456E8E2"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F(zi)</w:t>
            </w:r>
          </w:p>
        </w:tc>
        <w:tc>
          <w:tcPr>
            <w:tcW w:w="1636" w:type="dxa"/>
            <w:tcBorders>
              <w:bottom w:val="single" w:sz="4" w:space="0" w:color="auto"/>
            </w:tcBorders>
            <w:vAlign w:val="center"/>
          </w:tcPr>
          <w:p w14:paraId="3530F201"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S(zi)</w:t>
            </w:r>
          </w:p>
        </w:tc>
        <w:tc>
          <w:tcPr>
            <w:tcW w:w="1901" w:type="dxa"/>
            <w:tcBorders>
              <w:bottom w:val="single" w:sz="4" w:space="0" w:color="auto"/>
            </w:tcBorders>
            <w:vAlign w:val="center"/>
          </w:tcPr>
          <w:p w14:paraId="31C0EA47"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|F(zi)-S(zi)|</w:t>
            </w:r>
          </w:p>
        </w:tc>
      </w:tr>
      <w:tr w:rsidR="00894711" w:rsidRPr="00894711" w14:paraId="460D0A4F" w14:textId="77777777" w:rsidTr="00E73401">
        <w:trPr>
          <w:trHeight w:val="340"/>
        </w:trPr>
        <w:tc>
          <w:tcPr>
            <w:tcW w:w="763" w:type="dxa"/>
            <w:tcBorders>
              <w:bottom w:val="nil"/>
            </w:tcBorders>
            <w:vAlign w:val="center"/>
          </w:tcPr>
          <w:p w14:paraId="02473D9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w:t>
            </w:r>
          </w:p>
        </w:tc>
        <w:tc>
          <w:tcPr>
            <w:tcW w:w="836" w:type="dxa"/>
            <w:tcBorders>
              <w:bottom w:val="nil"/>
            </w:tcBorders>
            <w:vAlign w:val="center"/>
          </w:tcPr>
          <w:p w14:paraId="0212BED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60</w:t>
            </w:r>
          </w:p>
        </w:tc>
        <w:tc>
          <w:tcPr>
            <w:tcW w:w="1087" w:type="dxa"/>
            <w:tcBorders>
              <w:bottom w:val="nil"/>
            </w:tcBorders>
            <w:vAlign w:val="center"/>
          </w:tcPr>
          <w:p w14:paraId="242F468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-2,08</w:t>
            </w:r>
          </w:p>
        </w:tc>
        <w:tc>
          <w:tcPr>
            <w:tcW w:w="1680" w:type="dxa"/>
            <w:tcBorders>
              <w:bottom w:val="nil"/>
            </w:tcBorders>
            <w:vAlign w:val="center"/>
          </w:tcPr>
          <w:p w14:paraId="44B1510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0,018891962</w:t>
            </w:r>
          </w:p>
        </w:tc>
        <w:tc>
          <w:tcPr>
            <w:tcW w:w="1636" w:type="dxa"/>
            <w:tcBorders>
              <w:bottom w:val="nil"/>
            </w:tcBorders>
            <w:vAlign w:val="center"/>
          </w:tcPr>
          <w:p w14:paraId="617F31C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0,071428571</w:t>
            </w:r>
          </w:p>
        </w:tc>
        <w:tc>
          <w:tcPr>
            <w:tcW w:w="1901" w:type="dxa"/>
            <w:tcBorders>
              <w:bottom w:val="nil"/>
            </w:tcBorders>
            <w:vAlign w:val="center"/>
          </w:tcPr>
          <w:p w14:paraId="67A5286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0,052537</w:t>
            </w:r>
          </w:p>
        </w:tc>
      </w:tr>
      <w:tr w:rsidR="00894711" w:rsidRPr="00894711" w14:paraId="7DF0B5E9" w14:textId="77777777" w:rsidTr="00E73401">
        <w:trPr>
          <w:trHeight w:val="340"/>
        </w:trPr>
        <w:tc>
          <w:tcPr>
            <w:tcW w:w="763" w:type="dxa"/>
            <w:tcBorders>
              <w:top w:val="nil"/>
              <w:bottom w:val="nil"/>
            </w:tcBorders>
            <w:vAlign w:val="center"/>
          </w:tcPr>
          <w:p w14:paraId="7D51465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w:t>
            </w:r>
          </w:p>
        </w:tc>
        <w:tc>
          <w:tcPr>
            <w:tcW w:w="836" w:type="dxa"/>
            <w:tcBorders>
              <w:top w:val="nil"/>
              <w:bottom w:val="nil"/>
            </w:tcBorders>
            <w:vAlign w:val="center"/>
          </w:tcPr>
          <w:p w14:paraId="3203BEE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60</w:t>
            </w:r>
          </w:p>
        </w:tc>
        <w:tc>
          <w:tcPr>
            <w:tcW w:w="1087" w:type="dxa"/>
            <w:tcBorders>
              <w:top w:val="nil"/>
              <w:bottom w:val="nil"/>
            </w:tcBorders>
            <w:vAlign w:val="center"/>
          </w:tcPr>
          <w:p w14:paraId="54BED11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-2,08</w:t>
            </w:r>
          </w:p>
        </w:tc>
        <w:tc>
          <w:tcPr>
            <w:tcW w:w="1680" w:type="dxa"/>
            <w:tcBorders>
              <w:top w:val="nil"/>
              <w:bottom w:val="nil"/>
            </w:tcBorders>
            <w:vAlign w:val="center"/>
          </w:tcPr>
          <w:p w14:paraId="3769771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0,018891962</w:t>
            </w:r>
          </w:p>
        </w:tc>
        <w:tc>
          <w:tcPr>
            <w:tcW w:w="1636" w:type="dxa"/>
            <w:tcBorders>
              <w:top w:val="nil"/>
              <w:bottom w:val="nil"/>
            </w:tcBorders>
            <w:vAlign w:val="center"/>
          </w:tcPr>
          <w:p w14:paraId="640B801B"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0,071428571</w:t>
            </w:r>
          </w:p>
        </w:tc>
        <w:tc>
          <w:tcPr>
            <w:tcW w:w="1901" w:type="dxa"/>
            <w:tcBorders>
              <w:top w:val="nil"/>
              <w:bottom w:val="nil"/>
            </w:tcBorders>
            <w:vAlign w:val="center"/>
          </w:tcPr>
          <w:p w14:paraId="283E6D3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0,052537</w:t>
            </w:r>
          </w:p>
        </w:tc>
      </w:tr>
      <w:tr w:rsidR="00894711" w:rsidRPr="00894711" w14:paraId="0135F14C" w14:textId="77777777" w:rsidTr="00E73401">
        <w:trPr>
          <w:trHeight w:val="340"/>
        </w:trPr>
        <w:tc>
          <w:tcPr>
            <w:tcW w:w="763" w:type="dxa"/>
            <w:tcBorders>
              <w:top w:val="nil"/>
              <w:bottom w:val="nil"/>
            </w:tcBorders>
            <w:vAlign w:val="center"/>
          </w:tcPr>
          <w:p w14:paraId="167FB12B"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3.</w:t>
            </w:r>
          </w:p>
        </w:tc>
        <w:tc>
          <w:tcPr>
            <w:tcW w:w="836" w:type="dxa"/>
            <w:tcBorders>
              <w:top w:val="nil"/>
              <w:bottom w:val="nil"/>
            </w:tcBorders>
            <w:vAlign w:val="center"/>
          </w:tcPr>
          <w:p w14:paraId="3BBC8C7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65</w:t>
            </w:r>
          </w:p>
        </w:tc>
        <w:tc>
          <w:tcPr>
            <w:tcW w:w="1087" w:type="dxa"/>
            <w:tcBorders>
              <w:top w:val="nil"/>
              <w:bottom w:val="nil"/>
            </w:tcBorders>
            <w:vAlign w:val="center"/>
          </w:tcPr>
          <w:p w14:paraId="4B65CD3B"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-1,14</w:t>
            </w:r>
          </w:p>
        </w:tc>
        <w:tc>
          <w:tcPr>
            <w:tcW w:w="1680" w:type="dxa"/>
            <w:tcBorders>
              <w:top w:val="nil"/>
              <w:bottom w:val="nil"/>
            </w:tcBorders>
            <w:vAlign w:val="center"/>
          </w:tcPr>
          <w:p w14:paraId="1B7F310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0,127329723</w:t>
            </w:r>
          </w:p>
        </w:tc>
        <w:tc>
          <w:tcPr>
            <w:tcW w:w="1636" w:type="dxa"/>
            <w:tcBorders>
              <w:top w:val="nil"/>
              <w:bottom w:val="nil"/>
            </w:tcBorders>
            <w:vAlign w:val="center"/>
          </w:tcPr>
          <w:p w14:paraId="7988457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0,25</w:t>
            </w:r>
          </w:p>
        </w:tc>
        <w:tc>
          <w:tcPr>
            <w:tcW w:w="1901" w:type="dxa"/>
            <w:tcBorders>
              <w:top w:val="nil"/>
              <w:bottom w:val="nil"/>
            </w:tcBorders>
            <w:vAlign w:val="center"/>
          </w:tcPr>
          <w:p w14:paraId="7BDDA5F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0,122670</w:t>
            </w:r>
          </w:p>
        </w:tc>
      </w:tr>
      <w:tr w:rsidR="00894711" w:rsidRPr="00894711" w14:paraId="041EEE53" w14:textId="77777777" w:rsidTr="00E73401">
        <w:trPr>
          <w:trHeight w:val="340"/>
        </w:trPr>
        <w:tc>
          <w:tcPr>
            <w:tcW w:w="763" w:type="dxa"/>
            <w:tcBorders>
              <w:top w:val="nil"/>
              <w:bottom w:val="nil"/>
            </w:tcBorders>
            <w:vAlign w:val="center"/>
          </w:tcPr>
          <w:p w14:paraId="0D769301"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4.</w:t>
            </w:r>
          </w:p>
        </w:tc>
        <w:tc>
          <w:tcPr>
            <w:tcW w:w="836" w:type="dxa"/>
            <w:tcBorders>
              <w:top w:val="nil"/>
              <w:bottom w:val="nil"/>
            </w:tcBorders>
            <w:vAlign w:val="center"/>
          </w:tcPr>
          <w:p w14:paraId="18F24F2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65</w:t>
            </w:r>
          </w:p>
        </w:tc>
        <w:tc>
          <w:tcPr>
            <w:tcW w:w="1087" w:type="dxa"/>
            <w:tcBorders>
              <w:top w:val="nil"/>
              <w:bottom w:val="nil"/>
            </w:tcBorders>
            <w:vAlign w:val="center"/>
          </w:tcPr>
          <w:p w14:paraId="22D35C9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-1,14</w:t>
            </w:r>
          </w:p>
        </w:tc>
        <w:tc>
          <w:tcPr>
            <w:tcW w:w="1680" w:type="dxa"/>
            <w:tcBorders>
              <w:top w:val="nil"/>
              <w:bottom w:val="nil"/>
            </w:tcBorders>
            <w:vAlign w:val="center"/>
          </w:tcPr>
          <w:p w14:paraId="21936DF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0,127329723</w:t>
            </w:r>
          </w:p>
        </w:tc>
        <w:tc>
          <w:tcPr>
            <w:tcW w:w="1636" w:type="dxa"/>
            <w:tcBorders>
              <w:top w:val="nil"/>
              <w:bottom w:val="nil"/>
            </w:tcBorders>
            <w:vAlign w:val="center"/>
          </w:tcPr>
          <w:p w14:paraId="2FEDCCB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0,25</w:t>
            </w:r>
          </w:p>
        </w:tc>
        <w:tc>
          <w:tcPr>
            <w:tcW w:w="1901" w:type="dxa"/>
            <w:tcBorders>
              <w:top w:val="nil"/>
              <w:bottom w:val="nil"/>
            </w:tcBorders>
            <w:vAlign w:val="center"/>
          </w:tcPr>
          <w:p w14:paraId="50D485D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0,122670</w:t>
            </w:r>
          </w:p>
        </w:tc>
      </w:tr>
      <w:tr w:rsidR="00894711" w:rsidRPr="00894711" w14:paraId="37C77686" w14:textId="77777777" w:rsidTr="00E73401">
        <w:trPr>
          <w:trHeight w:val="340"/>
        </w:trPr>
        <w:tc>
          <w:tcPr>
            <w:tcW w:w="763" w:type="dxa"/>
            <w:tcBorders>
              <w:top w:val="nil"/>
              <w:bottom w:val="nil"/>
            </w:tcBorders>
            <w:vAlign w:val="center"/>
          </w:tcPr>
          <w:p w14:paraId="31A988EC"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5.</w:t>
            </w:r>
          </w:p>
        </w:tc>
        <w:tc>
          <w:tcPr>
            <w:tcW w:w="836" w:type="dxa"/>
            <w:tcBorders>
              <w:top w:val="nil"/>
              <w:bottom w:val="nil"/>
            </w:tcBorders>
            <w:vAlign w:val="center"/>
          </w:tcPr>
          <w:p w14:paraId="4FF6840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65</w:t>
            </w:r>
          </w:p>
        </w:tc>
        <w:tc>
          <w:tcPr>
            <w:tcW w:w="1087" w:type="dxa"/>
            <w:tcBorders>
              <w:top w:val="nil"/>
              <w:bottom w:val="nil"/>
            </w:tcBorders>
            <w:vAlign w:val="center"/>
          </w:tcPr>
          <w:p w14:paraId="3F32CBAB"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-1,14</w:t>
            </w:r>
          </w:p>
        </w:tc>
        <w:tc>
          <w:tcPr>
            <w:tcW w:w="1680" w:type="dxa"/>
            <w:tcBorders>
              <w:top w:val="nil"/>
              <w:bottom w:val="nil"/>
            </w:tcBorders>
            <w:vAlign w:val="center"/>
          </w:tcPr>
          <w:p w14:paraId="1ABC268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0,127329723</w:t>
            </w:r>
          </w:p>
        </w:tc>
        <w:tc>
          <w:tcPr>
            <w:tcW w:w="1636" w:type="dxa"/>
            <w:tcBorders>
              <w:top w:val="nil"/>
              <w:bottom w:val="nil"/>
            </w:tcBorders>
            <w:vAlign w:val="center"/>
          </w:tcPr>
          <w:p w14:paraId="3F1EE6DB"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0,25</w:t>
            </w:r>
          </w:p>
        </w:tc>
        <w:tc>
          <w:tcPr>
            <w:tcW w:w="1901" w:type="dxa"/>
            <w:tcBorders>
              <w:top w:val="nil"/>
              <w:bottom w:val="nil"/>
            </w:tcBorders>
            <w:vAlign w:val="center"/>
          </w:tcPr>
          <w:p w14:paraId="1F8B22EC"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0,122670</w:t>
            </w:r>
          </w:p>
        </w:tc>
      </w:tr>
      <w:tr w:rsidR="00894711" w:rsidRPr="00894711" w14:paraId="01ECF26E" w14:textId="77777777" w:rsidTr="00E73401">
        <w:trPr>
          <w:trHeight w:val="340"/>
        </w:trPr>
        <w:tc>
          <w:tcPr>
            <w:tcW w:w="763" w:type="dxa"/>
            <w:tcBorders>
              <w:top w:val="nil"/>
              <w:bottom w:val="nil"/>
            </w:tcBorders>
            <w:vAlign w:val="center"/>
          </w:tcPr>
          <w:p w14:paraId="7A1AD4C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6.</w:t>
            </w:r>
          </w:p>
        </w:tc>
        <w:tc>
          <w:tcPr>
            <w:tcW w:w="836" w:type="dxa"/>
            <w:tcBorders>
              <w:top w:val="nil"/>
              <w:bottom w:val="nil"/>
            </w:tcBorders>
            <w:vAlign w:val="center"/>
          </w:tcPr>
          <w:p w14:paraId="72610DC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65</w:t>
            </w:r>
          </w:p>
        </w:tc>
        <w:tc>
          <w:tcPr>
            <w:tcW w:w="1087" w:type="dxa"/>
            <w:tcBorders>
              <w:top w:val="nil"/>
              <w:bottom w:val="nil"/>
            </w:tcBorders>
            <w:vAlign w:val="center"/>
          </w:tcPr>
          <w:p w14:paraId="1059D24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-1,14</w:t>
            </w:r>
          </w:p>
        </w:tc>
        <w:tc>
          <w:tcPr>
            <w:tcW w:w="1680" w:type="dxa"/>
            <w:tcBorders>
              <w:top w:val="nil"/>
              <w:bottom w:val="nil"/>
            </w:tcBorders>
            <w:vAlign w:val="center"/>
          </w:tcPr>
          <w:p w14:paraId="60E4989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0,127329723</w:t>
            </w:r>
          </w:p>
        </w:tc>
        <w:tc>
          <w:tcPr>
            <w:tcW w:w="1636" w:type="dxa"/>
            <w:tcBorders>
              <w:top w:val="nil"/>
              <w:bottom w:val="nil"/>
            </w:tcBorders>
            <w:vAlign w:val="center"/>
          </w:tcPr>
          <w:p w14:paraId="3CBE34B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0,25</w:t>
            </w:r>
          </w:p>
        </w:tc>
        <w:tc>
          <w:tcPr>
            <w:tcW w:w="1901" w:type="dxa"/>
            <w:tcBorders>
              <w:top w:val="nil"/>
              <w:bottom w:val="nil"/>
            </w:tcBorders>
            <w:vAlign w:val="center"/>
          </w:tcPr>
          <w:p w14:paraId="67FA21BB"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0,122670</w:t>
            </w:r>
          </w:p>
        </w:tc>
      </w:tr>
      <w:tr w:rsidR="00894711" w:rsidRPr="00894711" w14:paraId="69B4B813" w14:textId="77777777" w:rsidTr="00E73401">
        <w:trPr>
          <w:trHeight w:val="340"/>
        </w:trPr>
        <w:tc>
          <w:tcPr>
            <w:tcW w:w="763" w:type="dxa"/>
            <w:tcBorders>
              <w:top w:val="nil"/>
              <w:bottom w:val="nil"/>
            </w:tcBorders>
            <w:vAlign w:val="center"/>
          </w:tcPr>
          <w:p w14:paraId="7A1D243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w:t>
            </w:r>
          </w:p>
        </w:tc>
        <w:tc>
          <w:tcPr>
            <w:tcW w:w="836" w:type="dxa"/>
            <w:tcBorders>
              <w:top w:val="nil"/>
              <w:bottom w:val="nil"/>
            </w:tcBorders>
            <w:vAlign w:val="center"/>
          </w:tcPr>
          <w:p w14:paraId="4B039CB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65</w:t>
            </w:r>
          </w:p>
        </w:tc>
        <w:tc>
          <w:tcPr>
            <w:tcW w:w="1087" w:type="dxa"/>
            <w:tcBorders>
              <w:top w:val="nil"/>
              <w:bottom w:val="nil"/>
            </w:tcBorders>
            <w:vAlign w:val="center"/>
          </w:tcPr>
          <w:p w14:paraId="64A0DD2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-1,14</w:t>
            </w:r>
          </w:p>
        </w:tc>
        <w:tc>
          <w:tcPr>
            <w:tcW w:w="1680" w:type="dxa"/>
            <w:tcBorders>
              <w:top w:val="nil"/>
              <w:bottom w:val="nil"/>
            </w:tcBorders>
            <w:vAlign w:val="center"/>
          </w:tcPr>
          <w:p w14:paraId="0A50B02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0,127329723</w:t>
            </w:r>
          </w:p>
        </w:tc>
        <w:tc>
          <w:tcPr>
            <w:tcW w:w="1636" w:type="dxa"/>
            <w:tcBorders>
              <w:top w:val="nil"/>
              <w:bottom w:val="nil"/>
            </w:tcBorders>
            <w:vAlign w:val="center"/>
          </w:tcPr>
          <w:p w14:paraId="5482AE9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0,25</w:t>
            </w:r>
          </w:p>
        </w:tc>
        <w:tc>
          <w:tcPr>
            <w:tcW w:w="1901" w:type="dxa"/>
            <w:tcBorders>
              <w:top w:val="nil"/>
              <w:bottom w:val="nil"/>
            </w:tcBorders>
            <w:vAlign w:val="center"/>
          </w:tcPr>
          <w:p w14:paraId="3470E2AC"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0,122670</w:t>
            </w:r>
          </w:p>
        </w:tc>
      </w:tr>
      <w:tr w:rsidR="00894711" w:rsidRPr="00894711" w14:paraId="7A856FEC" w14:textId="77777777" w:rsidTr="00E73401">
        <w:trPr>
          <w:trHeight w:val="340"/>
        </w:trPr>
        <w:tc>
          <w:tcPr>
            <w:tcW w:w="763" w:type="dxa"/>
            <w:tcBorders>
              <w:top w:val="nil"/>
              <w:bottom w:val="nil"/>
            </w:tcBorders>
            <w:vAlign w:val="center"/>
          </w:tcPr>
          <w:p w14:paraId="550697B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8.</w:t>
            </w:r>
          </w:p>
        </w:tc>
        <w:tc>
          <w:tcPr>
            <w:tcW w:w="836" w:type="dxa"/>
            <w:tcBorders>
              <w:top w:val="nil"/>
              <w:bottom w:val="nil"/>
            </w:tcBorders>
            <w:vAlign w:val="center"/>
          </w:tcPr>
          <w:p w14:paraId="78F6B65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70</w:t>
            </w:r>
          </w:p>
        </w:tc>
        <w:tc>
          <w:tcPr>
            <w:tcW w:w="1087" w:type="dxa"/>
            <w:tcBorders>
              <w:top w:val="nil"/>
              <w:bottom w:val="nil"/>
            </w:tcBorders>
            <w:vAlign w:val="center"/>
          </w:tcPr>
          <w:p w14:paraId="2BBD512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-0,20</w:t>
            </w:r>
          </w:p>
        </w:tc>
        <w:tc>
          <w:tcPr>
            <w:tcW w:w="1680" w:type="dxa"/>
            <w:tcBorders>
              <w:top w:val="nil"/>
              <w:bottom w:val="nil"/>
            </w:tcBorders>
            <w:vAlign w:val="center"/>
          </w:tcPr>
          <w:p w14:paraId="18DE948B"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0,420342057</w:t>
            </w:r>
          </w:p>
        </w:tc>
        <w:tc>
          <w:tcPr>
            <w:tcW w:w="1636" w:type="dxa"/>
            <w:tcBorders>
              <w:top w:val="nil"/>
              <w:bottom w:val="nil"/>
            </w:tcBorders>
            <w:vAlign w:val="center"/>
          </w:tcPr>
          <w:p w14:paraId="2DF5506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0,535714286</w:t>
            </w:r>
          </w:p>
        </w:tc>
        <w:tc>
          <w:tcPr>
            <w:tcW w:w="1901" w:type="dxa"/>
            <w:tcBorders>
              <w:top w:val="nil"/>
              <w:bottom w:val="nil"/>
            </w:tcBorders>
            <w:vAlign w:val="center"/>
          </w:tcPr>
          <w:p w14:paraId="3719F98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0,115372</w:t>
            </w:r>
          </w:p>
        </w:tc>
      </w:tr>
      <w:tr w:rsidR="00894711" w:rsidRPr="00894711" w14:paraId="06227F96" w14:textId="77777777" w:rsidTr="00E73401">
        <w:trPr>
          <w:trHeight w:val="340"/>
        </w:trPr>
        <w:tc>
          <w:tcPr>
            <w:tcW w:w="763" w:type="dxa"/>
            <w:tcBorders>
              <w:top w:val="nil"/>
              <w:bottom w:val="nil"/>
            </w:tcBorders>
            <w:vAlign w:val="center"/>
          </w:tcPr>
          <w:p w14:paraId="6C23BB6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9.</w:t>
            </w:r>
          </w:p>
        </w:tc>
        <w:tc>
          <w:tcPr>
            <w:tcW w:w="836" w:type="dxa"/>
            <w:tcBorders>
              <w:top w:val="nil"/>
              <w:bottom w:val="nil"/>
            </w:tcBorders>
            <w:vAlign w:val="center"/>
          </w:tcPr>
          <w:p w14:paraId="31DA26D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70</w:t>
            </w:r>
          </w:p>
        </w:tc>
        <w:tc>
          <w:tcPr>
            <w:tcW w:w="1087" w:type="dxa"/>
            <w:tcBorders>
              <w:top w:val="nil"/>
              <w:bottom w:val="nil"/>
            </w:tcBorders>
            <w:vAlign w:val="center"/>
          </w:tcPr>
          <w:p w14:paraId="191071F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-0,20</w:t>
            </w:r>
          </w:p>
        </w:tc>
        <w:tc>
          <w:tcPr>
            <w:tcW w:w="1680" w:type="dxa"/>
            <w:tcBorders>
              <w:top w:val="nil"/>
              <w:bottom w:val="nil"/>
            </w:tcBorders>
            <w:vAlign w:val="center"/>
          </w:tcPr>
          <w:p w14:paraId="26F0567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0,420342057</w:t>
            </w:r>
          </w:p>
        </w:tc>
        <w:tc>
          <w:tcPr>
            <w:tcW w:w="1636" w:type="dxa"/>
            <w:tcBorders>
              <w:top w:val="nil"/>
              <w:bottom w:val="nil"/>
            </w:tcBorders>
            <w:vAlign w:val="center"/>
          </w:tcPr>
          <w:p w14:paraId="6D30D46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0,535714286</w:t>
            </w:r>
          </w:p>
        </w:tc>
        <w:tc>
          <w:tcPr>
            <w:tcW w:w="1901" w:type="dxa"/>
            <w:tcBorders>
              <w:top w:val="nil"/>
              <w:bottom w:val="nil"/>
            </w:tcBorders>
            <w:vAlign w:val="center"/>
          </w:tcPr>
          <w:p w14:paraId="0550C1AB"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0,115372</w:t>
            </w:r>
          </w:p>
        </w:tc>
      </w:tr>
      <w:tr w:rsidR="00894711" w:rsidRPr="00894711" w14:paraId="73E290F2" w14:textId="77777777" w:rsidTr="00E73401">
        <w:trPr>
          <w:trHeight w:val="340"/>
        </w:trPr>
        <w:tc>
          <w:tcPr>
            <w:tcW w:w="763" w:type="dxa"/>
            <w:tcBorders>
              <w:top w:val="nil"/>
              <w:bottom w:val="nil"/>
            </w:tcBorders>
            <w:vAlign w:val="center"/>
          </w:tcPr>
          <w:p w14:paraId="7485556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10.</w:t>
            </w:r>
          </w:p>
        </w:tc>
        <w:tc>
          <w:tcPr>
            <w:tcW w:w="836" w:type="dxa"/>
            <w:tcBorders>
              <w:top w:val="nil"/>
              <w:bottom w:val="nil"/>
            </w:tcBorders>
            <w:vAlign w:val="center"/>
          </w:tcPr>
          <w:p w14:paraId="3A29A42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70</w:t>
            </w:r>
          </w:p>
        </w:tc>
        <w:tc>
          <w:tcPr>
            <w:tcW w:w="1087" w:type="dxa"/>
            <w:tcBorders>
              <w:top w:val="nil"/>
              <w:bottom w:val="nil"/>
            </w:tcBorders>
            <w:vAlign w:val="center"/>
          </w:tcPr>
          <w:p w14:paraId="6A8A9F3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-0,20</w:t>
            </w:r>
          </w:p>
        </w:tc>
        <w:tc>
          <w:tcPr>
            <w:tcW w:w="1680" w:type="dxa"/>
            <w:tcBorders>
              <w:top w:val="nil"/>
              <w:bottom w:val="nil"/>
            </w:tcBorders>
            <w:vAlign w:val="center"/>
          </w:tcPr>
          <w:p w14:paraId="630AEC4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0,420342057</w:t>
            </w:r>
          </w:p>
        </w:tc>
        <w:tc>
          <w:tcPr>
            <w:tcW w:w="1636" w:type="dxa"/>
            <w:tcBorders>
              <w:top w:val="nil"/>
              <w:bottom w:val="nil"/>
            </w:tcBorders>
            <w:vAlign w:val="center"/>
          </w:tcPr>
          <w:p w14:paraId="35173DD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0,535714286</w:t>
            </w:r>
          </w:p>
        </w:tc>
        <w:tc>
          <w:tcPr>
            <w:tcW w:w="1901" w:type="dxa"/>
            <w:tcBorders>
              <w:top w:val="nil"/>
              <w:bottom w:val="nil"/>
            </w:tcBorders>
            <w:vAlign w:val="center"/>
          </w:tcPr>
          <w:p w14:paraId="57ABC64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0,115372</w:t>
            </w:r>
          </w:p>
        </w:tc>
      </w:tr>
      <w:tr w:rsidR="00894711" w:rsidRPr="00894711" w14:paraId="08D103CF" w14:textId="77777777" w:rsidTr="00E73401">
        <w:trPr>
          <w:trHeight w:val="340"/>
        </w:trPr>
        <w:tc>
          <w:tcPr>
            <w:tcW w:w="763" w:type="dxa"/>
            <w:tcBorders>
              <w:top w:val="nil"/>
              <w:bottom w:val="nil"/>
            </w:tcBorders>
            <w:vAlign w:val="center"/>
          </w:tcPr>
          <w:p w14:paraId="55DF771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11.</w:t>
            </w:r>
          </w:p>
        </w:tc>
        <w:tc>
          <w:tcPr>
            <w:tcW w:w="836" w:type="dxa"/>
            <w:tcBorders>
              <w:top w:val="nil"/>
              <w:bottom w:val="nil"/>
            </w:tcBorders>
            <w:vAlign w:val="center"/>
          </w:tcPr>
          <w:p w14:paraId="78E9A69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70</w:t>
            </w:r>
          </w:p>
        </w:tc>
        <w:tc>
          <w:tcPr>
            <w:tcW w:w="1087" w:type="dxa"/>
            <w:tcBorders>
              <w:top w:val="nil"/>
              <w:bottom w:val="nil"/>
            </w:tcBorders>
            <w:vAlign w:val="center"/>
          </w:tcPr>
          <w:p w14:paraId="36A9EAB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-0,20</w:t>
            </w:r>
          </w:p>
        </w:tc>
        <w:tc>
          <w:tcPr>
            <w:tcW w:w="1680" w:type="dxa"/>
            <w:tcBorders>
              <w:top w:val="nil"/>
              <w:bottom w:val="nil"/>
            </w:tcBorders>
            <w:vAlign w:val="center"/>
          </w:tcPr>
          <w:p w14:paraId="2F9F51D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0,420342057</w:t>
            </w:r>
          </w:p>
        </w:tc>
        <w:tc>
          <w:tcPr>
            <w:tcW w:w="1636" w:type="dxa"/>
            <w:tcBorders>
              <w:top w:val="nil"/>
              <w:bottom w:val="nil"/>
            </w:tcBorders>
            <w:vAlign w:val="center"/>
          </w:tcPr>
          <w:p w14:paraId="0E14792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0,535714286</w:t>
            </w:r>
          </w:p>
        </w:tc>
        <w:tc>
          <w:tcPr>
            <w:tcW w:w="1901" w:type="dxa"/>
            <w:tcBorders>
              <w:top w:val="nil"/>
              <w:bottom w:val="nil"/>
            </w:tcBorders>
            <w:vAlign w:val="center"/>
          </w:tcPr>
          <w:p w14:paraId="4277CBC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0,115372</w:t>
            </w:r>
          </w:p>
        </w:tc>
      </w:tr>
      <w:tr w:rsidR="00894711" w:rsidRPr="00894711" w14:paraId="64094870" w14:textId="77777777" w:rsidTr="00E73401">
        <w:trPr>
          <w:trHeight w:val="340"/>
        </w:trPr>
        <w:tc>
          <w:tcPr>
            <w:tcW w:w="763" w:type="dxa"/>
            <w:tcBorders>
              <w:top w:val="nil"/>
              <w:bottom w:val="nil"/>
            </w:tcBorders>
            <w:vAlign w:val="center"/>
          </w:tcPr>
          <w:p w14:paraId="558BDB5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12.</w:t>
            </w:r>
          </w:p>
        </w:tc>
        <w:tc>
          <w:tcPr>
            <w:tcW w:w="836" w:type="dxa"/>
            <w:tcBorders>
              <w:top w:val="nil"/>
              <w:bottom w:val="nil"/>
            </w:tcBorders>
            <w:vAlign w:val="center"/>
          </w:tcPr>
          <w:p w14:paraId="716B5D5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70</w:t>
            </w:r>
          </w:p>
        </w:tc>
        <w:tc>
          <w:tcPr>
            <w:tcW w:w="1087" w:type="dxa"/>
            <w:tcBorders>
              <w:top w:val="nil"/>
              <w:bottom w:val="nil"/>
            </w:tcBorders>
            <w:vAlign w:val="center"/>
          </w:tcPr>
          <w:p w14:paraId="3EE8DBA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-0,20</w:t>
            </w:r>
          </w:p>
        </w:tc>
        <w:tc>
          <w:tcPr>
            <w:tcW w:w="1680" w:type="dxa"/>
            <w:tcBorders>
              <w:top w:val="nil"/>
              <w:bottom w:val="nil"/>
            </w:tcBorders>
            <w:vAlign w:val="center"/>
          </w:tcPr>
          <w:p w14:paraId="063F51B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0,420342057</w:t>
            </w:r>
          </w:p>
        </w:tc>
        <w:tc>
          <w:tcPr>
            <w:tcW w:w="1636" w:type="dxa"/>
            <w:tcBorders>
              <w:top w:val="nil"/>
              <w:bottom w:val="nil"/>
            </w:tcBorders>
            <w:vAlign w:val="center"/>
          </w:tcPr>
          <w:p w14:paraId="462D935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0,535714286</w:t>
            </w:r>
          </w:p>
        </w:tc>
        <w:tc>
          <w:tcPr>
            <w:tcW w:w="1901" w:type="dxa"/>
            <w:tcBorders>
              <w:top w:val="nil"/>
              <w:bottom w:val="nil"/>
            </w:tcBorders>
            <w:vAlign w:val="center"/>
          </w:tcPr>
          <w:p w14:paraId="5D7B737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0,115372</w:t>
            </w:r>
          </w:p>
        </w:tc>
      </w:tr>
      <w:tr w:rsidR="00894711" w:rsidRPr="00894711" w14:paraId="466EC6CE" w14:textId="77777777" w:rsidTr="00E73401">
        <w:trPr>
          <w:trHeight w:val="340"/>
        </w:trPr>
        <w:tc>
          <w:tcPr>
            <w:tcW w:w="763" w:type="dxa"/>
            <w:tcBorders>
              <w:top w:val="nil"/>
              <w:bottom w:val="nil"/>
            </w:tcBorders>
            <w:vAlign w:val="center"/>
          </w:tcPr>
          <w:p w14:paraId="532CD0F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13.</w:t>
            </w:r>
          </w:p>
        </w:tc>
        <w:tc>
          <w:tcPr>
            <w:tcW w:w="836" w:type="dxa"/>
            <w:tcBorders>
              <w:top w:val="nil"/>
              <w:bottom w:val="nil"/>
            </w:tcBorders>
            <w:vAlign w:val="center"/>
          </w:tcPr>
          <w:p w14:paraId="7959A39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70</w:t>
            </w:r>
          </w:p>
        </w:tc>
        <w:tc>
          <w:tcPr>
            <w:tcW w:w="1087" w:type="dxa"/>
            <w:tcBorders>
              <w:top w:val="nil"/>
              <w:bottom w:val="nil"/>
            </w:tcBorders>
            <w:vAlign w:val="center"/>
          </w:tcPr>
          <w:p w14:paraId="7EE5CE7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-0,20</w:t>
            </w:r>
          </w:p>
        </w:tc>
        <w:tc>
          <w:tcPr>
            <w:tcW w:w="1680" w:type="dxa"/>
            <w:tcBorders>
              <w:top w:val="nil"/>
              <w:bottom w:val="nil"/>
            </w:tcBorders>
            <w:vAlign w:val="center"/>
          </w:tcPr>
          <w:p w14:paraId="512E99C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0,420342057</w:t>
            </w:r>
          </w:p>
        </w:tc>
        <w:tc>
          <w:tcPr>
            <w:tcW w:w="1636" w:type="dxa"/>
            <w:tcBorders>
              <w:top w:val="nil"/>
              <w:bottom w:val="nil"/>
            </w:tcBorders>
            <w:vAlign w:val="center"/>
          </w:tcPr>
          <w:p w14:paraId="03CD319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0,535714286</w:t>
            </w:r>
          </w:p>
        </w:tc>
        <w:tc>
          <w:tcPr>
            <w:tcW w:w="1901" w:type="dxa"/>
            <w:tcBorders>
              <w:top w:val="nil"/>
              <w:bottom w:val="nil"/>
            </w:tcBorders>
            <w:vAlign w:val="center"/>
          </w:tcPr>
          <w:p w14:paraId="71F45BB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0,115372</w:t>
            </w:r>
          </w:p>
        </w:tc>
      </w:tr>
      <w:tr w:rsidR="00894711" w:rsidRPr="00894711" w14:paraId="1404778C" w14:textId="77777777" w:rsidTr="00E73401">
        <w:trPr>
          <w:trHeight w:val="340"/>
        </w:trPr>
        <w:tc>
          <w:tcPr>
            <w:tcW w:w="763" w:type="dxa"/>
            <w:tcBorders>
              <w:top w:val="nil"/>
              <w:bottom w:val="nil"/>
            </w:tcBorders>
            <w:vAlign w:val="center"/>
          </w:tcPr>
          <w:p w14:paraId="22CDB28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14.</w:t>
            </w:r>
          </w:p>
        </w:tc>
        <w:tc>
          <w:tcPr>
            <w:tcW w:w="836" w:type="dxa"/>
            <w:tcBorders>
              <w:top w:val="nil"/>
              <w:bottom w:val="nil"/>
            </w:tcBorders>
            <w:vAlign w:val="center"/>
          </w:tcPr>
          <w:p w14:paraId="4846381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70</w:t>
            </w:r>
          </w:p>
        </w:tc>
        <w:tc>
          <w:tcPr>
            <w:tcW w:w="1087" w:type="dxa"/>
            <w:tcBorders>
              <w:top w:val="nil"/>
              <w:bottom w:val="nil"/>
            </w:tcBorders>
            <w:vAlign w:val="center"/>
          </w:tcPr>
          <w:p w14:paraId="48E27E6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-0,20</w:t>
            </w:r>
          </w:p>
        </w:tc>
        <w:tc>
          <w:tcPr>
            <w:tcW w:w="1680" w:type="dxa"/>
            <w:tcBorders>
              <w:top w:val="nil"/>
              <w:bottom w:val="nil"/>
            </w:tcBorders>
            <w:vAlign w:val="center"/>
          </w:tcPr>
          <w:p w14:paraId="3419250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0,420342057</w:t>
            </w:r>
          </w:p>
        </w:tc>
        <w:tc>
          <w:tcPr>
            <w:tcW w:w="1636" w:type="dxa"/>
            <w:tcBorders>
              <w:top w:val="nil"/>
              <w:bottom w:val="nil"/>
            </w:tcBorders>
            <w:vAlign w:val="center"/>
          </w:tcPr>
          <w:p w14:paraId="43ADE93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0,535714286</w:t>
            </w:r>
          </w:p>
        </w:tc>
        <w:tc>
          <w:tcPr>
            <w:tcW w:w="1901" w:type="dxa"/>
            <w:tcBorders>
              <w:top w:val="nil"/>
              <w:bottom w:val="nil"/>
            </w:tcBorders>
            <w:vAlign w:val="center"/>
          </w:tcPr>
          <w:p w14:paraId="01D99A6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0,115372</w:t>
            </w:r>
          </w:p>
        </w:tc>
      </w:tr>
      <w:tr w:rsidR="00894711" w:rsidRPr="00894711" w14:paraId="455948F4" w14:textId="77777777" w:rsidTr="00E73401">
        <w:trPr>
          <w:trHeight w:val="340"/>
        </w:trPr>
        <w:tc>
          <w:tcPr>
            <w:tcW w:w="763" w:type="dxa"/>
            <w:tcBorders>
              <w:top w:val="nil"/>
              <w:bottom w:val="nil"/>
            </w:tcBorders>
            <w:vAlign w:val="center"/>
          </w:tcPr>
          <w:p w14:paraId="0A6AF67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15.</w:t>
            </w:r>
          </w:p>
        </w:tc>
        <w:tc>
          <w:tcPr>
            <w:tcW w:w="836" w:type="dxa"/>
            <w:tcBorders>
              <w:top w:val="nil"/>
              <w:bottom w:val="nil"/>
            </w:tcBorders>
            <w:vAlign w:val="center"/>
          </w:tcPr>
          <w:p w14:paraId="447D7A4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70</w:t>
            </w:r>
          </w:p>
        </w:tc>
        <w:tc>
          <w:tcPr>
            <w:tcW w:w="1087" w:type="dxa"/>
            <w:tcBorders>
              <w:top w:val="nil"/>
              <w:bottom w:val="nil"/>
            </w:tcBorders>
            <w:vAlign w:val="center"/>
          </w:tcPr>
          <w:p w14:paraId="1CC91A9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-0,20</w:t>
            </w:r>
          </w:p>
        </w:tc>
        <w:tc>
          <w:tcPr>
            <w:tcW w:w="1680" w:type="dxa"/>
            <w:tcBorders>
              <w:top w:val="nil"/>
              <w:bottom w:val="nil"/>
            </w:tcBorders>
            <w:vAlign w:val="center"/>
          </w:tcPr>
          <w:p w14:paraId="6A0CCA3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0,420342057</w:t>
            </w:r>
          </w:p>
        </w:tc>
        <w:tc>
          <w:tcPr>
            <w:tcW w:w="1636" w:type="dxa"/>
            <w:tcBorders>
              <w:top w:val="nil"/>
              <w:bottom w:val="nil"/>
            </w:tcBorders>
            <w:vAlign w:val="center"/>
          </w:tcPr>
          <w:p w14:paraId="07B5CFBC"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0,535714286</w:t>
            </w:r>
          </w:p>
        </w:tc>
        <w:tc>
          <w:tcPr>
            <w:tcW w:w="1901" w:type="dxa"/>
            <w:tcBorders>
              <w:top w:val="nil"/>
              <w:bottom w:val="nil"/>
            </w:tcBorders>
            <w:vAlign w:val="center"/>
          </w:tcPr>
          <w:p w14:paraId="64EF248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0,115372</w:t>
            </w:r>
          </w:p>
        </w:tc>
      </w:tr>
      <w:tr w:rsidR="00894711" w:rsidRPr="00894711" w14:paraId="2F1920C7" w14:textId="77777777" w:rsidTr="00E73401">
        <w:trPr>
          <w:trHeight w:val="340"/>
        </w:trPr>
        <w:tc>
          <w:tcPr>
            <w:tcW w:w="763" w:type="dxa"/>
            <w:tcBorders>
              <w:top w:val="nil"/>
              <w:bottom w:val="nil"/>
            </w:tcBorders>
            <w:vAlign w:val="center"/>
          </w:tcPr>
          <w:p w14:paraId="0D50806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16.</w:t>
            </w:r>
          </w:p>
        </w:tc>
        <w:tc>
          <w:tcPr>
            <w:tcW w:w="836" w:type="dxa"/>
            <w:tcBorders>
              <w:top w:val="nil"/>
              <w:bottom w:val="nil"/>
            </w:tcBorders>
            <w:vAlign w:val="center"/>
          </w:tcPr>
          <w:p w14:paraId="645B898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26B7AEC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6FB9AF2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4180A23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7EDAE89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693A8C3A" w14:textId="77777777" w:rsidTr="00E73401">
        <w:trPr>
          <w:trHeight w:val="340"/>
        </w:trPr>
        <w:tc>
          <w:tcPr>
            <w:tcW w:w="763" w:type="dxa"/>
            <w:tcBorders>
              <w:top w:val="nil"/>
              <w:bottom w:val="nil"/>
            </w:tcBorders>
            <w:vAlign w:val="center"/>
          </w:tcPr>
          <w:p w14:paraId="720B2FF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17.</w:t>
            </w:r>
          </w:p>
        </w:tc>
        <w:tc>
          <w:tcPr>
            <w:tcW w:w="836" w:type="dxa"/>
            <w:tcBorders>
              <w:top w:val="nil"/>
              <w:bottom w:val="nil"/>
            </w:tcBorders>
            <w:vAlign w:val="center"/>
          </w:tcPr>
          <w:p w14:paraId="323BB6A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37DAE6D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63D63BC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2CBFA57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4F3CC41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324B0BB8" w14:textId="77777777" w:rsidTr="00E73401">
        <w:trPr>
          <w:trHeight w:val="340"/>
        </w:trPr>
        <w:tc>
          <w:tcPr>
            <w:tcW w:w="763" w:type="dxa"/>
            <w:tcBorders>
              <w:top w:val="nil"/>
              <w:bottom w:val="nil"/>
            </w:tcBorders>
            <w:vAlign w:val="center"/>
          </w:tcPr>
          <w:p w14:paraId="062274E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18.</w:t>
            </w:r>
          </w:p>
        </w:tc>
        <w:tc>
          <w:tcPr>
            <w:tcW w:w="836" w:type="dxa"/>
            <w:tcBorders>
              <w:top w:val="nil"/>
              <w:bottom w:val="nil"/>
            </w:tcBorders>
            <w:vAlign w:val="center"/>
          </w:tcPr>
          <w:p w14:paraId="72EC5221"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6F17B85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7C08DC11"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7AEF63F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4CDC162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3C540573" w14:textId="77777777" w:rsidTr="00E73401">
        <w:trPr>
          <w:trHeight w:val="340"/>
        </w:trPr>
        <w:tc>
          <w:tcPr>
            <w:tcW w:w="763" w:type="dxa"/>
            <w:tcBorders>
              <w:top w:val="nil"/>
              <w:bottom w:val="nil"/>
            </w:tcBorders>
            <w:vAlign w:val="center"/>
          </w:tcPr>
          <w:p w14:paraId="040D701C"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19.</w:t>
            </w:r>
          </w:p>
        </w:tc>
        <w:tc>
          <w:tcPr>
            <w:tcW w:w="836" w:type="dxa"/>
            <w:tcBorders>
              <w:top w:val="nil"/>
              <w:bottom w:val="nil"/>
            </w:tcBorders>
            <w:vAlign w:val="center"/>
          </w:tcPr>
          <w:p w14:paraId="1292829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19A9B3D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1E6489FC"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120E445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4860957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7B068B1C" w14:textId="77777777" w:rsidTr="00E73401">
        <w:trPr>
          <w:trHeight w:val="340"/>
        </w:trPr>
        <w:tc>
          <w:tcPr>
            <w:tcW w:w="763" w:type="dxa"/>
            <w:tcBorders>
              <w:top w:val="nil"/>
              <w:bottom w:val="nil"/>
            </w:tcBorders>
            <w:vAlign w:val="center"/>
          </w:tcPr>
          <w:p w14:paraId="7E61DE3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20.</w:t>
            </w:r>
          </w:p>
        </w:tc>
        <w:tc>
          <w:tcPr>
            <w:tcW w:w="836" w:type="dxa"/>
            <w:tcBorders>
              <w:top w:val="nil"/>
              <w:bottom w:val="nil"/>
            </w:tcBorders>
            <w:vAlign w:val="center"/>
          </w:tcPr>
          <w:p w14:paraId="0B971B8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3F08F15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551ED5B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1AF9C22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7A99D82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6E3EACF8" w14:textId="77777777" w:rsidTr="00E73401">
        <w:trPr>
          <w:trHeight w:val="340"/>
        </w:trPr>
        <w:tc>
          <w:tcPr>
            <w:tcW w:w="763" w:type="dxa"/>
            <w:tcBorders>
              <w:top w:val="nil"/>
              <w:bottom w:val="nil"/>
            </w:tcBorders>
            <w:vAlign w:val="center"/>
          </w:tcPr>
          <w:p w14:paraId="4513B8D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21.</w:t>
            </w:r>
          </w:p>
        </w:tc>
        <w:tc>
          <w:tcPr>
            <w:tcW w:w="836" w:type="dxa"/>
            <w:tcBorders>
              <w:top w:val="nil"/>
              <w:bottom w:val="nil"/>
            </w:tcBorders>
            <w:vAlign w:val="center"/>
          </w:tcPr>
          <w:p w14:paraId="20A7F4B1"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6662EE2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7C5870A4"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67E62F2C"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04ACA4E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334EA0DF" w14:textId="77777777" w:rsidTr="00E73401">
        <w:trPr>
          <w:trHeight w:val="340"/>
        </w:trPr>
        <w:tc>
          <w:tcPr>
            <w:tcW w:w="763" w:type="dxa"/>
            <w:tcBorders>
              <w:top w:val="nil"/>
              <w:bottom w:val="nil"/>
            </w:tcBorders>
            <w:vAlign w:val="center"/>
          </w:tcPr>
          <w:p w14:paraId="757EA6B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22.</w:t>
            </w:r>
          </w:p>
        </w:tc>
        <w:tc>
          <w:tcPr>
            <w:tcW w:w="836" w:type="dxa"/>
            <w:tcBorders>
              <w:top w:val="nil"/>
              <w:bottom w:val="nil"/>
            </w:tcBorders>
            <w:vAlign w:val="center"/>
          </w:tcPr>
          <w:p w14:paraId="16CFC29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3B6895D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3649061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2A7A6D0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35B6726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208FA36B" w14:textId="77777777" w:rsidTr="00E73401">
        <w:trPr>
          <w:trHeight w:val="340"/>
        </w:trPr>
        <w:tc>
          <w:tcPr>
            <w:tcW w:w="763" w:type="dxa"/>
            <w:tcBorders>
              <w:top w:val="nil"/>
              <w:bottom w:val="nil"/>
            </w:tcBorders>
            <w:vAlign w:val="center"/>
          </w:tcPr>
          <w:p w14:paraId="6A7E563D"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23.</w:t>
            </w:r>
          </w:p>
        </w:tc>
        <w:tc>
          <w:tcPr>
            <w:tcW w:w="836" w:type="dxa"/>
            <w:tcBorders>
              <w:top w:val="nil"/>
              <w:bottom w:val="nil"/>
            </w:tcBorders>
            <w:vAlign w:val="center"/>
          </w:tcPr>
          <w:p w14:paraId="0BBF4A1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448A055C"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7DFC6C51"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57D44DB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06B6741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4EA272C2" w14:textId="77777777" w:rsidTr="00E73401">
        <w:trPr>
          <w:trHeight w:val="340"/>
        </w:trPr>
        <w:tc>
          <w:tcPr>
            <w:tcW w:w="763" w:type="dxa"/>
            <w:tcBorders>
              <w:top w:val="nil"/>
              <w:bottom w:val="nil"/>
            </w:tcBorders>
            <w:vAlign w:val="center"/>
          </w:tcPr>
          <w:p w14:paraId="417D014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24.</w:t>
            </w:r>
          </w:p>
        </w:tc>
        <w:tc>
          <w:tcPr>
            <w:tcW w:w="836" w:type="dxa"/>
            <w:tcBorders>
              <w:top w:val="nil"/>
              <w:bottom w:val="nil"/>
            </w:tcBorders>
            <w:vAlign w:val="center"/>
          </w:tcPr>
          <w:p w14:paraId="73A716F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6C28426A"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5F88CA2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1DBF23F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48D280C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3A5330E2" w14:textId="77777777" w:rsidTr="00E73401">
        <w:trPr>
          <w:trHeight w:val="340"/>
        </w:trPr>
        <w:tc>
          <w:tcPr>
            <w:tcW w:w="763" w:type="dxa"/>
            <w:tcBorders>
              <w:top w:val="nil"/>
              <w:bottom w:val="nil"/>
            </w:tcBorders>
            <w:vAlign w:val="center"/>
          </w:tcPr>
          <w:p w14:paraId="491965FA"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25.</w:t>
            </w:r>
          </w:p>
        </w:tc>
        <w:tc>
          <w:tcPr>
            <w:tcW w:w="836" w:type="dxa"/>
            <w:tcBorders>
              <w:top w:val="nil"/>
              <w:bottom w:val="nil"/>
            </w:tcBorders>
            <w:vAlign w:val="center"/>
          </w:tcPr>
          <w:p w14:paraId="6E69F811"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725E929E"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312BADB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73B3F1C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594EAD1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12107268" w14:textId="77777777" w:rsidTr="00E73401">
        <w:trPr>
          <w:trHeight w:val="340"/>
        </w:trPr>
        <w:tc>
          <w:tcPr>
            <w:tcW w:w="763" w:type="dxa"/>
            <w:tcBorders>
              <w:top w:val="nil"/>
              <w:bottom w:val="nil"/>
            </w:tcBorders>
            <w:vAlign w:val="center"/>
          </w:tcPr>
          <w:p w14:paraId="24872CAA"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lastRenderedPageBreak/>
              <w:t>26.</w:t>
            </w:r>
          </w:p>
        </w:tc>
        <w:tc>
          <w:tcPr>
            <w:tcW w:w="836" w:type="dxa"/>
            <w:tcBorders>
              <w:top w:val="nil"/>
              <w:bottom w:val="nil"/>
            </w:tcBorders>
            <w:vAlign w:val="center"/>
          </w:tcPr>
          <w:p w14:paraId="70C9321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75</w:t>
            </w:r>
          </w:p>
        </w:tc>
        <w:tc>
          <w:tcPr>
            <w:tcW w:w="1087" w:type="dxa"/>
            <w:tcBorders>
              <w:top w:val="nil"/>
              <w:bottom w:val="nil"/>
            </w:tcBorders>
            <w:vAlign w:val="center"/>
          </w:tcPr>
          <w:p w14:paraId="7192E53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0,74</w:t>
            </w:r>
          </w:p>
        </w:tc>
        <w:tc>
          <w:tcPr>
            <w:tcW w:w="1680" w:type="dxa"/>
            <w:tcBorders>
              <w:top w:val="nil"/>
              <w:bottom w:val="nil"/>
            </w:tcBorders>
            <w:vAlign w:val="center"/>
          </w:tcPr>
          <w:p w14:paraId="2B700815"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0,769459443</w:t>
            </w:r>
          </w:p>
        </w:tc>
        <w:tc>
          <w:tcPr>
            <w:tcW w:w="1636" w:type="dxa"/>
            <w:tcBorders>
              <w:top w:val="nil"/>
              <w:bottom w:val="nil"/>
            </w:tcBorders>
            <w:vAlign w:val="center"/>
          </w:tcPr>
          <w:p w14:paraId="03F2E1C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0,928571429</w:t>
            </w:r>
          </w:p>
        </w:tc>
        <w:tc>
          <w:tcPr>
            <w:tcW w:w="1901" w:type="dxa"/>
            <w:tcBorders>
              <w:top w:val="nil"/>
              <w:bottom w:val="nil"/>
            </w:tcBorders>
            <w:vAlign w:val="center"/>
          </w:tcPr>
          <w:p w14:paraId="17CC421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0,159112</w:t>
            </w:r>
          </w:p>
        </w:tc>
      </w:tr>
      <w:tr w:rsidR="00894711" w:rsidRPr="00894711" w14:paraId="740FE623" w14:textId="77777777" w:rsidTr="00E73401">
        <w:trPr>
          <w:trHeight w:val="340"/>
        </w:trPr>
        <w:tc>
          <w:tcPr>
            <w:tcW w:w="763" w:type="dxa"/>
            <w:tcBorders>
              <w:top w:val="nil"/>
              <w:bottom w:val="nil"/>
            </w:tcBorders>
            <w:vAlign w:val="center"/>
          </w:tcPr>
          <w:p w14:paraId="1C01B18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27.</w:t>
            </w:r>
          </w:p>
        </w:tc>
        <w:tc>
          <w:tcPr>
            <w:tcW w:w="836" w:type="dxa"/>
            <w:tcBorders>
              <w:top w:val="nil"/>
              <w:bottom w:val="nil"/>
            </w:tcBorders>
            <w:vAlign w:val="center"/>
          </w:tcPr>
          <w:p w14:paraId="08049FA0"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80</w:t>
            </w:r>
          </w:p>
        </w:tc>
        <w:tc>
          <w:tcPr>
            <w:tcW w:w="1087" w:type="dxa"/>
            <w:tcBorders>
              <w:top w:val="nil"/>
              <w:bottom w:val="nil"/>
            </w:tcBorders>
            <w:vAlign w:val="center"/>
          </w:tcPr>
          <w:p w14:paraId="346C823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1,68</w:t>
            </w:r>
          </w:p>
        </w:tc>
        <w:tc>
          <w:tcPr>
            <w:tcW w:w="1680" w:type="dxa"/>
            <w:tcBorders>
              <w:top w:val="nil"/>
              <w:bottom w:val="nil"/>
            </w:tcBorders>
            <w:vAlign w:val="center"/>
          </w:tcPr>
          <w:p w14:paraId="41CC173A"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0,953048001</w:t>
            </w:r>
          </w:p>
        </w:tc>
        <w:tc>
          <w:tcPr>
            <w:tcW w:w="1636" w:type="dxa"/>
            <w:tcBorders>
              <w:top w:val="nil"/>
              <w:bottom w:val="nil"/>
            </w:tcBorders>
            <w:vAlign w:val="center"/>
          </w:tcPr>
          <w:p w14:paraId="4DA3DC18"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w:t>
            </w:r>
          </w:p>
        </w:tc>
        <w:tc>
          <w:tcPr>
            <w:tcW w:w="1901" w:type="dxa"/>
            <w:tcBorders>
              <w:top w:val="nil"/>
              <w:bottom w:val="nil"/>
            </w:tcBorders>
            <w:vAlign w:val="center"/>
          </w:tcPr>
          <w:p w14:paraId="223F5E43"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0,046952</w:t>
            </w:r>
          </w:p>
        </w:tc>
      </w:tr>
      <w:tr w:rsidR="00894711" w:rsidRPr="00894711" w14:paraId="75A0D9D5" w14:textId="77777777" w:rsidTr="00E73401">
        <w:trPr>
          <w:trHeight w:val="340"/>
        </w:trPr>
        <w:tc>
          <w:tcPr>
            <w:tcW w:w="763" w:type="dxa"/>
            <w:tcBorders>
              <w:top w:val="nil"/>
            </w:tcBorders>
            <w:vAlign w:val="center"/>
          </w:tcPr>
          <w:p w14:paraId="20FCB69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28.</w:t>
            </w:r>
          </w:p>
        </w:tc>
        <w:tc>
          <w:tcPr>
            <w:tcW w:w="836" w:type="dxa"/>
            <w:tcBorders>
              <w:top w:val="nil"/>
            </w:tcBorders>
            <w:vAlign w:val="center"/>
          </w:tcPr>
          <w:p w14:paraId="19F58BA9"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80</w:t>
            </w:r>
          </w:p>
        </w:tc>
        <w:tc>
          <w:tcPr>
            <w:tcW w:w="1087" w:type="dxa"/>
            <w:tcBorders>
              <w:top w:val="nil"/>
            </w:tcBorders>
            <w:vAlign w:val="center"/>
          </w:tcPr>
          <w:p w14:paraId="7BFB8CD6"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1,68</w:t>
            </w:r>
          </w:p>
        </w:tc>
        <w:tc>
          <w:tcPr>
            <w:tcW w:w="1680" w:type="dxa"/>
            <w:tcBorders>
              <w:top w:val="nil"/>
            </w:tcBorders>
            <w:vAlign w:val="center"/>
          </w:tcPr>
          <w:p w14:paraId="7C56E1A7"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0,953048001</w:t>
            </w:r>
          </w:p>
        </w:tc>
        <w:tc>
          <w:tcPr>
            <w:tcW w:w="1636" w:type="dxa"/>
            <w:tcBorders>
              <w:top w:val="nil"/>
            </w:tcBorders>
            <w:vAlign w:val="center"/>
          </w:tcPr>
          <w:p w14:paraId="2C1BC3DF"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1</w:t>
            </w:r>
          </w:p>
        </w:tc>
        <w:tc>
          <w:tcPr>
            <w:tcW w:w="1901" w:type="dxa"/>
            <w:tcBorders>
              <w:top w:val="nil"/>
            </w:tcBorders>
            <w:vAlign w:val="center"/>
          </w:tcPr>
          <w:p w14:paraId="403613C2" w14:textId="77777777" w:rsidR="00894711" w:rsidRPr="00894711" w:rsidRDefault="00894711" w:rsidP="00894711">
            <w:pPr>
              <w:spacing w:line="276" w:lineRule="auto"/>
              <w:jc w:val="center"/>
              <w:rPr>
                <w:rFonts w:ascii="Cambria" w:hAnsi="Cambria" w:cstheme="majorBidi"/>
              </w:rPr>
            </w:pPr>
            <w:r w:rsidRPr="00894711">
              <w:rPr>
                <w:rFonts w:ascii="Cambria" w:hAnsi="Cambria" w:cstheme="majorBidi"/>
              </w:rPr>
              <w:t>0,046952</w:t>
            </w:r>
          </w:p>
        </w:tc>
      </w:tr>
      <w:tr w:rsidR="00894711" w:rsidRPr="00894711" w14:paraId="0D918945" w14:textId="77777777" w:rsidTr="00E73401">
        <w:trPr>
          <w:trHeight w:val="397"/>
        </w:trPr>
        <w:tc>
          <w:tcPr>
            <w:tcW w:w="763" w:type="dxa"/>
            <w:vAlign w:val="center"/>
          </w:tcPr>
          <w:p w14:paraId="36D1B0D9"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Total</w:t>
            </w:r>
          </w:p>
        </w:tc>
        <w:tc>
          <w:tcPr>
            <w:tcW w:w="836" w:type="dxa"/>
            <w:vAlign w:val="center"/>
          </w:tcPr>
          <w:p w14:paraId="257A4109"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1845</w:t>
            </w:r>
          </w:p>
        </w:tc>
        <w:tc>
          <w:tcPr>
            <w:tcW w:w="1087" w:type="dxa"/>
            <w:vAlign w:val="center"/>
          </w:tcPr>
          <w:p w14:paraId="5E1DC5B1"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0,00</w:t>
            </w:r>
          </w:p>
        </w:tc>
        <w:tc>
          <w:tcPr>
            <w:tcW w:w="1680" w:type="dxa"/>
            <w:vAlign w:val="center"/>
          </w:tcPr>
          <w:p w14:paraId="373605D2"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14,40732</w:t>
            </w:r>
          </w:p>
        </w:tc>
        <w:tc>
          <w:tcPr>
            <w:tcW w:w="1636" w:type="dxa"/>
            <w:vAlign w:val="center"/>
          </w:tcPr>
          <w:p w14:paraId="2E8A200F"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17,892857</w:t>
            </w:r>
          </w:p>
        </w:tc>
        <w:tc>
          <w:tcPr>
            <w:tcW w:w="1901" w:type="dxa"/>
            <w:vAlign w:val="center"/>
          </w:tcPr>
          <w:p w14:paraId="03FC9FF7" w14:textId="77777777" w:rsidR="00894711" w:rsidRPr="00894711" w:rsidRDefault="00894711" w:rsidP="00894711">
            <w:pPr>
              <w:spacing w:line="276" w:lineRule="auto"/>
              <w:jc w:val="center"/>
              <w:rPr>
                <w:rFonts w:ascii="Cambria" w:hAnsi="Cambria" w:cstheme="majorBidi"/>
                <w:b/>
                <w:bCs/>
              </w:rPr>
            </w:pPr>
            <w:r w:rsidRPr="00894711">
              <w:rPr>
                <w:rFonts w:ascii="Cambria" w:hAnsi="Cambria" w:cstheme="majorBidi"/>
                <w:b/>
                <w:bCs/>
              </w:rPr>
              <w:t>3,485538</w:t>
            </w:r>
          </w:p>
        </w:tc>
      </w:tr>
    </w:tbl>
    <w:p w14:paraId="3E02C51F" w14:textId="77777777" w:rsidR="00894711" w:rsidRDefault="00894711" w:rsidP="00894711">
      <w:pPr>
        <w:pStyle w:val="92ParagrafKedua"/>
      </w:pPr>
    </w:p>
    <w:p w14:paraId="2F8CDD21" w14:textId="5A48B521" w:rsidR="00894711" w:rsidRDefault="00894711" w:rsidP="00843549">
      <w:pPr>
        <w:pStyle w:val="92ParagrafKedua"/>
      </w:pPr>
      <w:r w:rsidRPr="00894711">
        <w:t xml:space="preserve">Based on the </w:t>
      </w:r>
      <w:r w:rsidR="00DE6562">
        <w:t xml:space="preserve">table, the value of L0 was calculated to be 0,161, representing the highest absolute </w:t>
      </w:r>
      <w:proofErr w:type="spellStart"/>
      <w:r w:rsidR="00DE6562">
        <w:t>absolute</w:t>
      </w:r>
      <w:proofErr w:type="spellEnd"/>
      <w:r w:rsidR="00DE6562">
        <w:t xml:space="preserve"> difference scor</w:t>
      </w:r>
      <w:r w:rsidRPr="00894711">
        <w:t xml:space="preserve">e between |F(zi)-S(zi)| for the sample size of </w:t>
      </w:r>
      <w:r w:rsidRPr="00894711">
        <w:rPr>
          <w:i/>
          <w:iCs/>
        </w:rPr>
        <w:t>n</w:t>
      </w:r>
      <w:r w:rsidRPr="00894711">
        <w:t xml:space="preserve"> = 28. Using the significance standard </w:t>
      </w:r>
      <m:oMath>
        <m:r>
          <w:rPr>
            <w:rFonts w:ascii="Cambria Math" w:hAnsi="Cambria Math"/>
          </w:rPr>
          <m:t>α=0,05</m:t>
        </m:r>
      </m:oMath>
      <w:r w:rsidRPr="00894711">
        <w:t xml:space="preserve"> from the Liliefors table, the obtained value of  </w:t>
      </w:r>
      <w:proofErr w:type="spellStart"/>
      <w:r w:rsidRPr="00894711">
        <w:rPr>
          <w:i/>
          <w:iCs/>
        </w:rPr>
        <w:t>L</w:t>
      </w:r>
      <w:r w:rsidRPr="00894711">
        <w:rPr>
          <w:i/>
          <w:iCs/>
          <w:vertAlign w:val="subscript"/>
        </w:rPr>
        <w:t>table</w:t>
      </w:r>
      <w:proofErr w:type="spellEnd"/>
      <w:r w:rsidRPr="00894711">
        <w:t xml:space="preserve"> was 0,164. In order to determine whether the data follows a normal distribution, the </w:t>
      </w:r>
      <w:r w:rsidRPr="00894711">
        <w:rPr>
          <w:i/>
          <w:iCs/>
        </w:rPr>
        <w:t>L</w:t>
      </w:r>
      <w:r w:rsidRPr="00894711">
        <w:rPr>
          <w:i/>
          <w:iCs/>
          <w:vertAlign w:val="subscript"/>
        </w:rPr>
        <w:t>0</w:t>
      </w:r>
      <w:r w:rsidRPr="00894711">
        <w:t xml:space="preserve"> value must be compared to </w:t>
      </w:r>
      <w:proofErr w:type="spellStart"/>
      <w:r w:rsidRPr="00894711">
        <w:rPr>
          <w:i/>
          <w:iCs/>
        </w:rPr>
        <w:t>L</w:t>
      </w:r>
      <w:r w:rsidRPr="00894711">
        <w:rPr>
          <w:i/>
          <w:iCs/>
          <w:vertAlign w:val="subscript"/>
        </w:rPr>
        <w:t>table</w:t>
      </w:r>
      <w:proofErr w:type="spellEnd"/>
      <w:r w:rsidRPr="00894711">
        <w:t xml:space="preserve">. Since </w:t>
      </w:r>
      <w:r w:rsidRPr="00894711">
        <w:rPr>
          <w:i/>
          <w:iCs/>
        </w:rPr>
        <w:t>L</w:t>
      </w:r>
      <w:r w:rsidRPr="00894711">
        <w:rPr>
          <w:i/>
          <w:iCs/>
          <w:vertAlign w:val="subscript"/>
        </w:rPr>
        <w:t>0</w:t>
      </w:r>
      <w:r w:rsidRPr="00894711">
        <w:t xml:space="preserve"> was found to be less than </w:t>
      </w:r>
      <w:proofErr w:type="spellStart"/>
      <w:r w:rsidRPr="00894711">
        <w:rPr>
          <w:i/>
          <w:iCs/>
        </w:rPr>
        <w:t>L</w:t>
      </w:r>
      <w:r w:rsidRPr="00894711">
        <w:rPr>
          <w:i/>
          <w:iCs/>
          <w:vertAlign w:val="subscript"/>
        </w:rPr>
        <w:t>table</w:t>
      </w:r>
      <w:proofErr w:type="spellEnd"/>
      <w:r w:rsidRPr="00894711">
        <w:t xml:space="preserve"> , i.e., 0.159 &lt; 0.164, it can be concluded that the data is normally distributed.</w:t>
      </w:r>
    </w:p>
    <w:p w14:paraId="651FA924" w14:textId="77777777" w:rsidR="00894711" w:rsidRPr="00894711" w:rsidRDefault="00894711" w:rsidP="005D317D">
      <w:pPr>
        <w:pStyle w:val="8SUBBAB2"/>
      </w:pPr>
      <w:r w:rsidRPr="00894711">
        <w:t>T-test Result</w:t>
      </w:r>
    </w:p>
    <w:p w14:paraId="0B51041E" w14:textId="2206A3B6" w:rsidR="00894711" w:rsidRDefault="00894711" w:rsidP="00C03B0B">
      <w:pPr>
        <w:pStyle w:val="92ParagrafKedua"/>
        <w:ind w:firstLine="0"/>
      </w:pPr>
      <w:r w:rsidRPr="00894711">
        <w:t xml:space="preserve">From the earlier </w:t>
      </w:r>
      <w:r w:rsidRPr="00DF732B">
        <w:t>calculation</w:t>
      </w:r>
      <w:r w:rsidRPr="00894711">
        <w:t xml:space="preserve">, it had been an average value of the experimental class </w:t>
      </w:r>
      <m:oMath>
        <m:acc>
          <m:accPr>
            <m:chr m:val="̅"/>
            <m:ctrlPr>
              <w:rPr>
                <w:rFonts w:ascii="Cambria Math" w:hAnsi="Cambria Math"/>
                <w:i/>
              </w:rPr>
            </m:ctrlPr>
          </m:accPr>
          <m:e>
            <m:r>
              <w:rPr>
                <w:rFonts w:ascii="Cambria Math" w:hAnsi="Cambria Math"/>
              </w:rPr>
              <m:t>x1</m:t>
            </m:r>
          </m:e>
        </m:acc>
      </m:oMath>
      <w:r w:rsidRPr="00894711">
        <w:t xml:space="preserve"> = 78,39, variance </w:t>
      </w:r>
      <m:oMath>
        <m:r>
          <w:rPr>
            <w:rFonts w:ascii="Cambria Math" w:hAnsi="Cambria Math"/>
          </w:rPr>
          <m:t>(</m:t>
        </m:r>
        <m:sSup>
          <m:sSupPr>
            <m:ctrlPr>
              <w:rPr>
                <w:rFonts w:ascii="Cambria Math" w:hAnsi="Cambria Math"/>
                <w:i/>
              </w:rPr>
            </m:ctrlPr>
          </m:sSupPr>
          <m:e>
            <m:r>
              <w:rPr>
                <w:rFonts w:ascii="Cambria Math" w:hAnsi="Cambria Math"/>
              </w:rPr>
              <m:t>S1</m:t>
            </m:r>
          </m:e>
          <m:sup>
            <m:r>
              <w:rPr>
                <w:rFonts w:ascii="Cambria Math" w:hAnsi="Cambria Math"/>
              </w:rPr>
              <m:t>2</m:t>
            </m:r>
          </m:sup>
        </m:sSup>
        <m:r>
          <w:rPr>
            <w:rFonts w:ascii="Cambria Math" w:hAnsi="Cambria Math"/>
          </w:rPr>
          <m:t>)</m:t>
        </m:r>
      </m:oMath>
      <w:r w:rsidRPr="00894711">
        <w:t xml:space="preserve"> = 53,802 while the average value for the control class </w:t>
      </w:r>
      <m:oMath>
        <m:acc>
          <m:accPr>
            <m:chr m:val="̅"/>
            <m:ctrlPr>
              <w:rPr>
                <w:rFonts w:ascii="Cambria Math" w:hAnsi="Cambria Math"/>
                <w:i/>
              </w:rPr>
            </m:ctrlPr>
          </m:accPr>
          <m:e>
            <m:r>
              <w:rPr>
                <w:rFonts w:ascii="Cambria Math" w:hAnsi="Cambria Math"/>
              </w:rPr>
              <m:t>x2</m:t>
            </m:r>
          </m:e>
        </m:acc>
      </m:oMath>
      <w:r w:rsidRPr="00894711">
        <w:t xml:space="preserve"> = 71,01, variance </w:t>
      </w:r>
      <m:oMath>
        <m:r>
          <w:rPr>
            <w:rFonts w:ascii="Cambria Math" w:hAnsi="Cambria Math"/>
          </w:rPr>
          <m:t>(</m:t>
        </m:r>
        <m:sSup>
          <m:sSupPr>
            <m:ctrlPr>
              <w:rPr>
                <w:rFonts w:ascii="Cambria Math" w:hAnsi="Cambria Math"/>
                <w:i/>
              </w:rPr>
            </m:ctrlPr>
          </m:sSupPr>
          <m:e>
            <m:r>
              <w:rPr>
                <w:rFonts w:ascii="Cambria Math" w:hAnsi="Cambria Math"/>
              </w:rPr>
              <m:t>S2</m:t>
            </m:r>
          </m:e>
          <m:sup>
            <m:r>
              <w:rPr>
                <w:rFonts w:ascii="Cambria Math" w:hAnsi="Cambria Math"/>
              </w:rPr>
              <m:t>2</m:t>
            </m:r>
          </m:sup>
        </m:sSup>
        <m:r>
          <w:rPr>
            <w:rFonts w:ascii="Cambria Math" w:hAnsi="Cambria Math"/>
          </w:rPr>
          <m:t>)</m:t>
        </m:r>
      </m:oMath>
      <w:r w:rsidRPr="00894711">
        <w:t xml:space="preserve"> = 28,439.</w:t>
      </w:r>
    </w:p>
    <w:p w14:paraId="67FB293E" w14:textId="77777777" w:rsidR="00DF732B" w:rsidRPr="00DF732B" w:rsidRDefault="00DF732B" w:rsidP="00DF732B">
      <w:pPr>
        <w:ind w:left="284" w:right="140"/>
        <w:rPr>
          <w:rFonts w:ascii="Cambria" w:hAnsi="Cambria" w:cs="Arial Hebrew"/>
          <w:bCs/>
          <w:color w:val="000000" w:themeColor="text1"/>
          <w:sz w:val="22"/>
          <w:szCs w:val="22"/>
        </w:rPr>
      </w:pPr>
    </w:p>
    <w:p w14:paraId="296A21B7" w14:textId="77777777" w:rsidR="00DF732B" w:rsidRPr="00DF732B" w:rsidRDefault="00000000" w:rsidP="00DF732B">
      <w:pPr>
        <w:ind w:firstLine="709"/>
        <w:contextualSpacing/>
        <w:jc w:val="both"/>
        <w:rPr>
          <w:rFonts w:ascii="Cambria" w:hAnsi="Cambria" w:cstheme="majorBidi"/>
          <w:color w:val="000000" w:themeColor="text1"/>
          <w:sz w:val="22"/>
          <w:szCs w:val="22"/>
        </w:rPr>
      </w:pPr>
      <m:oMathPara>
        <m:oMath>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t</m:t>
              </m:r>
            </m:e>
            <m:sub>
              <m:r>
                <w:rPr>
                  <w:rFonts w:ascii="Cambria Math" w:hAnsi="Cambria Math" w:cstheme="majorBidi"/>
                  <w:color w:val="000000" w:themeColor="text1"/>
                  <w:sz w:val="22"/>
                  <w:szCs w:val="22"/>
                </w:rPr>
                <m:t>test</m:t>
              </m:r>
            </m:sub>
          </m:sSub>
          <m:r>
            <w:rPr>
              <w:rFonts w:ascii="Cambria Math" w:hAnsi="Cambria Math" w:cstheme="majorBidi"/>
              <w:color w:val="000000" w:themeColor="text1"/>
              <w:sz w:val="22"/>
              <w:szCs w:val="22"/>
            </w:rPr>
            <m:t xml:space="preserve">= </m:t>
          </m:r>
          <m:f>
            <m:fPr>
              <m:ctrlPr>
                <w:rPr>
                  <w:rFonts w:ascii="Cambria Math" w:hAnsi="Cambria Math" w:cstheme="majorBidi"/>
                  <w:i/>
                  <w:color w:val="000000" w:themeColor="text1"/>
                  <w:sz w:val="22"/>
                  <w:szCs w:val="22"/>
                </w:rPr>
              </m:ctrlPr>
            </m:fPr>
            <m:num>
              <m:r>
                <w:rPr>
                  <w:rFonts w:ascii="Cambria Math" w:hAnsi="Cambria Math" w:cstheme="majorBidi"/>
                  <w:color w:val="000000" w:themeColor="text1"/>
                  <w:sz w:val="22"/>
                  <w:szCs w:val="22"/>
                </w:rPr>
                <m:t>x1-x2</m:t>
              </m:r>
            </m:num>
            <m:den>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S</m:t>
                  </m:r>
                </m:e>
                <m:sub>
                  <m:r>
                    <w:rPr>
                      <w:rFonts w:ascii="Cambria Math" w:hAnsi="Cambria Math" w:cstheme="majorBidi"/>
                      <w:color w:val="000000" w:themeColor="text1"/>
                      <w:sz w:val="22"/>
                      <w:szCs w:val="22"/>
                    </w:rPr>
                    <m:t>gab</m:t>
                  </m:r>
                </m:sub>
              </m:sSub>
              <m:rad>
                <m:radPr>
                  <m:degHide m:val="1"/>
                  <m:ctrlPr>
                    <w:rPr>
                      <w:rFonts w:ascii="Cambria Math" w:hAnsi="Cambria Math" w:cstheme="majorBidi"/>
                      <w:i/>
                      <w:color w:val="000000" w:themeColor="text1"/>
                      <w:sz w:val="22"/>
                      <w:szCs w:val="22"/>
                    </w:rPr>
                  </m:ctrlPr>
                </m:radPr>
                <m:deg/>
                <m:e>
                  <m:f>
                    <m:fPr>
                      <m:ctrlPr>
                        <w:rPr>
                          <w:rFonts w:ascii="Cambria Math" w:hAnsi="Cambria Math" w:cstheme="majorBidi"/>
                          <w:i/>
                          <w:color w:val="000000" w:themeColor="text1"/>
                          <w:sz w:val="22"/>
                          <w:szCs w:val="22"/>
                        </w:rPr>
                      </m:ctrlPr>
                    </m:fPr>
                    <m:num>
                      <m:r>
                        <w:rPr>
                          <w:rFonts w:ascii="Cambria Math" w:hAnsi="Cambria Math" w:cstheme="majorBidi"/>
                          <w:color w:val="000000" w:themeColor="text1"/>
                          <w:sz w:val="22"/>
                          <w:szCs w:val="22"/>
                        </w:rPr>
                        <m:t>1+1</m:t>
                      </m:r>
                    </m:num>
                    <m:den>
                      <m:r>
                        <w:rPr>
                          <w:rFonts w:ascii="Cambria Math" w:hAnsi="Cambria Math" w:cstheme="majorBidi"/>
                          <w:color w:val="000000" w:themeColor="text1"/>
                          <w:sz w:val="22"/>
                          <w:szCs w:val="22"/>
                        </w:rPr>
                        <m:t>n1+n2</m:t>
                      </m:r>
                    </m:den>
                  </m:f>
                </m:e>
              </m:rad>
            </m:den>
          </m:f>
        </m:oMath>
      </m:oMathPara>
    </w:p>
    <w:p w14:paraId="679C3C6D" w14:textId="77777777" w:rsidR="00DF732B" w:rsidRPr="00DF732B" w:rsidRDefault="00000000" w:rsidP="00DF732B">
      <w:pPr>
        <w:ind w:firstLine="709"/>
        <w:contextualSpacing/>
        <w:jc w:val="both"/>
        <w:rPr>
          <w:rFonts w:ascii="Cambria" w:hAnsi="Cambria" w:cstheme="majorBidi"/>
          <w:color w:val="000000" w:themeColor="text1"/>
          <w:sz w:val="22"/>
          <w:szCs w:val="22"/>
        </w:rPr>
      </w:pPr>
      <m:oMathPara>
        <m:oMath>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t</m:t>
              </m:r>
            </m:e>
            <m:sub>
              <m:r>
                <w:rPr>
                  <w:rFonts w:ascii="Cambria Math" w:hAnsi="Cambria Math" w:cstheme="majorBidi"/>
                  <w:color w:val="000000" w:themeColor="text1"/>
                  <w:sz w:val="22"/>
                  <w:szCs w:val="22"/>
                </w:rPr>
                <m:t>test</m:t>
              </m:r>
            </m:sub>
          </m:sSub>
          <m:r>
            <w:rPr>
              <w:rFonts w:ascii="Cambria Math" w:hAnsi="Cambria Math" w:cstheme="majorBidi"/>
              <w:color w:val="000000" w:themeColor="text1"/>
              <w:sz w:val="22"/>
              <w:szCs w:val="22"/>
            </w:rPr>
            <m:t xml:space="preserve">= </m:t>
          </m:r>
          <m:f>
            <m:fPr>
              <m:ctrlPr>
                <w:rPr>
                  <w:rFonts w:ascii="Cambria Math" w:hAnsi="Cambria Math" w:cstheme="majorBidi"/>
                  <w:i/>
                  <w:color w:val="000000" w:themeColor="text1"/>
                  <w:sz w:val="22"/>
                  <w:szCs w:val="22"/>
                </w:rPr>
              </m:ctrlPr>
            </m:fPr>
            <m:num>
              <m:r>
                <w:rPr>
                  <w:rFonts w:ascii="Cambria Math" w:hAnsi="Cambria Math" w:cstheme="majorBidi"/>
                  <w:color w:val="000000" w:themeColor="text1"/>
                  <w:sz w:val="22"/>
                  <w:szCs w:val="22"/>
                </w:rPr>
                <m:t>78,39-71,07</m:t>
              </m:r>
            </m:num>
            <m:den>
              <m:r>
                <w:rPr>
                  <w:rFonts w:ascii="Cambria Math" w:hAnsi="Cambria Math" w:cstheme="majorBidi"/>
                  <w:color w:val="000000" w:themeColor="text1"/>
                  <w:sz w:val="22"/>
                  <w:szCs w:val="22"/>
                </w:rPr>
                <m:t>6,41</m:t>
              </m:r>
              <m:rad>
                <m:radPr>
                  <m:degHide m:val="1"/>
                  <m:ctrlPr>
                    <w:rPr>
                      <w:rFonts w:ascii="Cambria Math" w:hAnsi="Cambria Math" w:cstheme="majorBidi"/>
                      <w:i/>
                      <w:color w:val="000000" w:themeColor="text1"/>
                      <w:sz w:val="22"/>
                      <w:szCs w:val="22"/>
                    </w:rPr>
                  </m:ctrlPr>
                </m:radPr>
                <m:deg/>
                <m:e>
                  <m:f>
                    <m:fPr>
                      <m:ctrlPr>
                        <w:rPr>
                          <w:rFonts w:ascii="Cambria Math" w:hAnsi="Cambria Math" w:cstheme="majorBidi"/>
                          <w:i/>
                          <w:color w:val="000000" w:themeColor="text1"/>
                          <w:sz w:val="22"/>
                          <w:szCs w:val="22"/>
                        </w:rPr>
                      </m:ctrlPr>
                    </m:fPr>
                    <m:num>
                      <m:r>
                        <w:rPr>
                          <w:rFonts w:ascii="Cambria Math" w:hAnsi="Cambria Math" w:cstheme="majorBidi"/>
                          <w:color w:val="000000" w:themeColor="text1"/>
                          <w:sz w:val="22"/>
                          <w:szCs w:val="22"/>
                        </w:rPr>
                        <m:t>1+1</m:t>
                      </m:r>
                    </m:num>
                    <m:den>
                      <m:r>
                        <w:rPr>
                          <w:rFonts w:ascii="Cambria Math" w:hAnsi="Cambria Math" w:cstheme="majorBidi"/>
                          <w:color w:val="000000" w:themeColor="text1"/>
                          <w:sz w:val="22"/>
                          <w:szCs w:val="22"/>
                        </w:rPr>
                        <m:t>28+28</m:t>
                      </m:r>
                    </m:den>
                  </m:f>
                </m:e>
              </m:rad>
            </m:den>
          </m:f>
        </m:oMath>
      </m:oMathPara>
    </w:p>
    <w:p w14:paraId="6FC6FE5B" w14:textId="77777777" w:rsidR="00DF732B" w:rsidRPr="00DF732B" w:rsidRDefault="00000000" w:rsidP="00DF732B">
      <w:pPr>
        <w:ind w:firstLine="709"/>
        <w:contextualSpacing/>
        <w:jc w:val="both"/>
        <w:rPr>
          <w:rFonts w:ascii="Cambria" w:hAnsi="Cambria" w:cstheme="majorBidi"/>
          <w:color w:val="000000" w:themeColor="text1"/>
          <w:sz w:val="22"/>
          <w:szCs w:val="22"/>
        </w:rPr>
      </w:pPr>
      <m:oMathPara>
        <m:oMath>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t</m:t>
              </m:r>
            </m:e>
            <m:sub>
              <m:r>
                <w:rPr>
                  <w:rFonts w:ascii="Cambria Math" w:hAnsi="Cambria Math" w:cstheme="majorBidi"/>
                  <w:color w:val="000000" w:themeColor="text1"/>
                  <w:sz w:val="22"/>
                  <w:szCs w:val="22"/>
                </w:rPr>
                <m:t>test</m:t>
              </m:r>
            </m:sub>
          </m:sSub>
          <m:r>
            <w:rPr>
              <w:rFonts w:ascii="Cambria Math" w:hAnsi="Cambria Math" w:cstheme="majorBidi"/>
              <w:color w:val="000000" w:themeColor="text1"/>
              <w:sz w:val="22"/>
              <w:szCs w:val="22"/>
            </w:rPr>
            <m:t xml:space="preserve">= </m:t>
          </m:r>
          <m:f>
            <m:fPr>
              <m:ctrlPr>
                <w:rPr>
                  <w:rFonts w:ascii="Cambria Math" w:hAnsi="Cambria Math" w:cstheme="majorBidi"/>
                  <w:i/>
                  <w:color w:val="000000" w:themeColor="text1"/>
                  <w:sz w:val="22"/>
                  <w:szCs w:val="22"/>
                </w:rPr>
              </m:ctrlPr>
            </m:fPr>
            <m:num>
              <m:r>
                <w:rPr>
                  <w:rFonts w:ascii="Cambria Math" w:hAnsi="Cambria Math" w:cstheme="majorBidi"/>
                  <w:color w:val="000000" w:themeColor="text1"/>
                  <w:sz w:val="22"/>
                  <w:szCs w:val="22"/>
                </w:rPr>
                <m:t>7,32</m:t>
              </m:r>
            </m:num>
            <m:den>
              <m:r>
                <w:rPr>
                  <w:rFonts w:ascii="Cambria Math" w:hAnsi="Cambria Math" w:cstheme="majorBidi"/>
                  <w:color w:val="000000" w:themeColor="text1"/>
                  <w:sz w:val="22"/>
                  <w:szCs w:val="22"/>
                </w:rPr>
                <m:t>6,41</m:t>
              </m:r>
              <m:rad>
                <m:radPr>
                  <m:degHide m:val="1"/>
                  <m:ctrlPr>
                    <w:rPr>
                      <w:rFonts w:ascii="Cambria Math" w:hAnsi="Cambria Math" w:cstheme="majorBidi"/>
                      <w:i/>
                      <w:color w:val="000000" w:themeColor="text1"/>
                      <w:sz w:val="22"/>
                      <w:szCs w:val="22"/>
                    </w:rPr>
                  </m:ctrlPr>
                </m:radPr>
                <m:deg/>
                <m:e>
                  <m:f>
                    <m:fPr>
                      <m:ctrlPr>
                        <w:rPr>
                          <w:rFonts w:ascii="Cambria Math" w:hAnsi="Cambria Math" w:cstheme="majorBidi"/>
                          <w:i/>
                          <w:color w:val="000000" w:themeColor="text1"/>
                          <w:sz w:val="22"/>
                          <w:szCs w:val="22"/>
                        </w:rPr>
                      </m:ctrlPr>
                    </m:fPr>
                    <m:num>
                      <m:r>
                        <w:rPr>
                          <w:rFonts w:ascii="Cambria Math" w:hAnsi="Cambria Math" w:cstheme="majorBidi"/>
                          <w:color w:val="000000" w:themeColor="text1"/>
                          <w:sz w:val="22"/>
                          <w:szCs w:val="22"/>
                        </w:rPr>
                        <m:t>2</m:t>
                      </m:r>
                    </m:num>
                    <m:den>
                      <m:r>
                        <w:rPr>
                          <w:rFonts w:ascii="Cambria Math" w:hAnsi="Cambria Math" w:cstheme="majorBidi"/>
                          <w:color w:val="000000" w:themeColor="text1"/>
                          <w:sz w:val="22"/>
                          <w:szCs w:val="22"/>
                        </w:rPr>
                        <m:t>56</m:t>
                      </m:r>
                    </m:den>
                  </m:f>
                </m:e>
              </m:rad>
            </m:den>
          </m:f>
        </m:oMath>
      </m:oMathPara>
    </w:p>
    <w:p w14:paraId="4018E451" w14:textId="77777777" w:rsidR="00DF732B" w:rsidRPr="00DF732B" w:rsidRDefault="00000000" w:rsidP="00DF732B">
      <w:pPr>
        <w:ind w:firstLine="709"/>
        <w:contextualSpacing/>
        <w:jc w:val="both"/>
        <w:rPr>
          <w:rFonts w:ascii="Cambria" w:hAnsi="Cambria" w:cstheme="majorBidi"/>
          <w:color w:val="000000" w:themeColor="text1"/>
          <w:sz w:val="22"/>
          <w:szCs w:val="22"/>
        </w:rPr>
      </w:pPr>
      <m:oMathPara>
        <m:oMath>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t</m:t>
              </m:r>
            </m:e>
            <m:sub>
              <m:r>
                <w:rPr>
                  <w:rFonts w:ascii="Cambria Math" w:hAnsi="Cambria Math" w:cstheme="majorBidi"/>
                  <w:color w:val="000000" w:themeColor="text1"/>
                  <w:sz w:val="22"/>
                  <w:szCs w:val="22"/>
                </w:rPr>
                <m:t>test</m:t>
              </m:r>
            </m:sub>
          </m:sSub>
          <m:r>
            <w:rPr>
              <w:rFonts w:ascii="Cambria Math" w:hAnsi="Cambria Math" w:cstheme="majorBidi"/>
              <w:color w:val="000000" w:themeColor="text1"/>
              <w:sz w:val="22"/>
              <w:szCs w:val="22"/>
            </w:rPr>
            <m:t>=</m:t>
          </m:r>
          <m:f>
            <m:fPr>
              <m:ctrlPr>
                <w:rPr>
                  <w:rFonts w:ascii="Cambria Math" w:hAnsi="Cambria Math" w:cstheme="majorBidi"/>
                  <w:i/>
                  <w:color w:val="000000" w:themeColor="text1"/>
                  <w:sz w:val="22"/>
                  <w:szCs w:val="22"/>
                </w:rPr>
              </m:ctrlPr>
            </m:fPr>
            <m:num>
              <m:r>
                <w:rPr>
                  <w:rFonts w:ascii="Cambria Math" w:hAnsi="Cambria Math" w:cstheme="majorBidi"/>
                  <w:color w:val="000000" w:themeColor="text1"/>
                  <w:sz w:val="22"/>
                  <w:szCs w:val="22"/>
                </w:rPr>
                <m:t>7,32</m:t>
              </m:r>
            </m:num>
            <m:den>
              <m:d>
                <m:dPr>
                  <m:ctrlPr>
                    <w:rPr>
                      <w:rFonts w:ascii="Cambria Math" w:hAnsi="Cambria Math" w:cstheme="majorBidi"/>
                      <w:i/>
                      <w:color w:val="000000" w:themeColor="text1"/>
                      <w:sz w:val="22"/>
                      <w:szCs w:val="22"/>
                    </w:rPr>
                  </m:ctrlPr>
                </m:dPr>
                <m:e>
                  <m:r>
                    <w:rPr>
                      <w:rFonts w:ascii="Cambria Math" w:hAnsi="Cambria Math" w:cstheme="majorBidi"/>
                      <w:color w:val="000000" w:themeColor="text1"/>
                      <w:sz w:val="22"/>
                      <w:szCs w:val="22"/>
                    </w:rPr>
                    <m:t>6,41</m:t>
                  </m:r>
                </m:e>
              </m:d>
              <m:r>
                <w:rPr>
                  <w:rFonts w:ascii="Cambria Math" w:hAnsi="Cambria Math" w:cstheme="majorBidi"/>
                  <w:color w:val="000000" w:themeColor="text1"/>
                  <w:sz w:val="22"/>
                  <w:szCs w:val="22"/>
                </w:rPr>
                <m:t>(0,189)</m:t>
              </m:r>
            </m:den>
          </m:f>
        </m:oMath>
      </m:oMathPara>
    </w:p>
    <w:p w14:paraId="15FBC9A0" w14:textId="77777777" w:rsidR="00DF732B" w:rsidRPr="00DF732B" w:rsidRDefault="00000000" w:rsidP="00DF732B">
      <w:pPr>
        <w:ind w:firstLine="709"/>
        <w:contextualSpacing/>
        <w:jc w:val="both"/>
        <w:rPr>
          <w:rFonts w:ascii="Cambria" w:hAnsi="Cambria" w:cstheme="majorBidi"/>
          <w:color w:val="000000" w:themeColor="text1"/>
          <w:sz w:val="22"/>
          <w:szCs w:val="22"/>
        </w:rPr>
      </w:pPr>
      <m:oMathPara>
        <m:oMath>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t</m:t>
              </m:r>
            </m:e>
            <m:sub>
              <m:r>
                <w:rPr>
                  <w:rFonts w:ascii="Cambria Math" w:hAnsi="Cambria Math" w:cstheme="majorBidi"/>
                  <w:color w:val="000000" w:themeColor="text1"/>
                  <w:sz w:val="22"/>
                  <w:szCs w:val="22"/>
                </w:rPr>
                <m:t>test</m:t>
              </m:r>
            </m:sub>
          </m:sSub>
          <m:r>
            <w:rPr>
              <w:rFonts w:ascii="Cambria Math" w:hAnsi="Cambria Math" w:cstheme="majorBidi"/>
              <w:color w:val="000000" w:themeColor="text1"/>
              <w:sz w:val="22"/>
              <w:szCs w:val="22"/>
            </w:rPr>
            <m:t>=</m:t>
          </m:r>
          <m:f>
            <m:fPr>
              <m:ctrlPr>
                <w:rPr>
                  <w:rFonts w:ascii="Cambria Math" w:hAnsi="Cambria Math" w:cstheme="majorBidi"/>
                  <w:i/>
                  <w:color w:val="000000" w:themeColor="text1"/>
                  <w:sz w:val="22"/>
                  <w:szCs w:val="22"/>
                </w:rPr>
              </m:ctrlPr>
            </m:fPr>
            <m:num>
              <m:r>
                <w:rPr>
                  <w:rFonts w:ascii="Cambria Math" w:hAnsi="Cambria Math" w:cstheme="majorBidi"/>
                  <w:color w:val="000000" w:themeColor="text1"/>
                  <w:sz w:val="22"/>
                  <w:szCs w:val="22"/>
                </w:rPr>
                <m:t>7,32</m:t>
              </m:r>
            </m:num>
            <m:den>
              <m:r>
                <w:rPr>
                  <w:rFonts w:ascii="Cambria Math" w:hAnsi="Cambria Math" w:cstheme="majorBidi"/>
                  <w:color w:val="000000" w:themeColor="text1"/>
                  <w:sz w:val="22"/>
                  <w:szCs w:val="22"/>
                </w:rPr>
                <m:t>1,212</m:t>
              </m:r>
            </m:den>
          </m:f>
        </m:oMath>
      </m:oMathPara>
    </w:p>
    <w:p w14:paraId="7772BC90" w14:textId="77777777" w:rsidR="00DF732B" w:rsidRPr="00DF732B" w:rsidRDefault="00000000" w:rsidP="00DF732B">
      <w:pPr>
        <w:ind w:left="284" w:right="140" w:firstLine="720"/>
        <w:jc w:val="both"/>
        <w:rPr>
          <w:rFonts w:ascii="Cambria" w:hAnsi="Cambria" w:cs="Arial Hebrew"/>
          <w:color w:val="000000" w:themeColor="text1"/>
          <w:sz w:val="22"/>
          <w:szCs w:val="22"/>
        </w:rPr>
      </w:pPr>
      <m:oMathPara>
        <m:oMath>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t</m:t>
              </m:r>
            </m:e>
            <m:sub>
              <m:r>
                <w:rPr>
                  <w:rFonts w:ascii="Cambria Math" w:hAnsi="Cambria Math" w:cstheme="majorBidi"/>
                  <w:color w:val="000000" w:themeColor="text1"/>
                  <w:sz w:val="22"/>
                  <w:szCs w:val="22"/>
                </w:rPr>
                <m:t>test</m:t>
              </m:r>
            </m:sub>
          </m:sSub>
          <m:r>
            <w:rPr>
              <w:rFonts w:ascii="Cambria Math" w:hAnsi="Cambria Math" w:cstheme="majorBidi"/>
              <w:color w:val="000000" w:themeColor="text1"/>
              <w:sz w:val="22"/>
              <w:szCs w:val="22"/>
            </w:rPr>
            <m:t>=6,039</m:t>
          </m:r>
        </m:oMath>
      </m:oMathPara>
    </w:p>
    <w:p w14:paraId="07B8DE6C" w14:textId="77777777" w:rsidR="00DF732B" w:rsidRPr="00DF732B" w:rsidRDefault="00DF732B" w:rsidP="00DF732B">
      <w:pPr>
        <w:ind w:left="284" w:right="140" w:firstLine="720"/>
        <w:jc w:val="both"/>
        <w:rPr>
          <w:rFonts w:ascii="Cambria" w:hAnsi="Cambria" w:cstheme="majorBidi"/>
          <w:color w:val="000000" w:themeColor="text1"/>
          <w:sz w:val="22"/>
          <w:szCs w:val="22"/>
        </w:rPr>
      </w:pPr>
    </w:p>
    <w:p w14:paraId="11855E9A" w14:textId="77777777" w:rsidR="00C03B0B" w:rsidRDefault="00C03B0B" w:rsidP="00D51098">
      <w:pPr>
        <w:pStyle w:val="92ParagrafKedua"/>
        <w:ind w:firstLine="0"/>
        <w:rPr>
          <w:b/>
        </w:rPr>
      </w:pPr>
    </w:p>
    <w:p w14:paraId="042AC1CA" w14:textId="77777777" w:rsidR="00883AE9" w:rsidRDefault="00883AE9" w:rsidP="00883AE9">
      <w:pPr>
        <w:pStyle w:val="7SUBBAB1"/>
      </w:pPr>
      <w:r w:rsidRPr="00883AE9">
        <w:t>Discussion</w:t>
      </w:r>
    </w:p>
    <w:p w14:paraId="27B3B80E" w14:textId="448AF48A" w:rsidR="00883AE9" w:rsidRPr="00844B75" w:rsidRDefault="00883AE9" w:rsidP="00C03B0B">
      <w:pPr>
        <w:pStyle w:val="91ParagrafPertama"/>
      </w:pPr>
      <w:r w:rsidRPr="00844B75">
        <w:t>The current research employed a t-test to examine possible variance in achievement between two groups of students: one group received instruction in reading comprehension on recount texts using the Rally Coach Strategy, while the other group received conventional instruction. The calculated t-test value of 6.039 was compared to the t-table critical value for a two-tailed test with a significance level of 0.05, which was 2.048. A t-test value that exceeded the critical value indicated a statistically significant difference. Therefore, the null hypothesis (H0) that there would be no difference in the effectiveness of the two instructional methods was rejected, and the alternative hypothesis (Ha) that there would be a difference in effectiveness was accepted.</w:t>
      </w:r>
    </w:p>
    <w:p w14:paraId="4A5299B6" w14:textId="1B5EC6E9" w:rsidR="00883AE9" w:rsidRPr="00844B75" w:rsidRDefault="00883AE9" w:rsidP="00C03B0B">
      <w:pPr>
        <w:pStyle w:val="92ParagrafKedua"/>
      </w:pPr>
      <w:r w:rsidRPr="00844B75">
        <w:t xml:space="preserve">Using the t-test, the study's findings provide strong evidence that the Rally Coach Strategy has statistically significant advantages over traditional instruction for teaching reading comprehension of recount texts. This method enabled a rigorous comparison of the two instructional methods, thereby increasing the results' reliability. Researchers were able to quantify the degree of difference between the two groups using the t-test, confirming that the </w:t>
      </w:r>
      <w:r w:rsidRPr="00844B75">
        <w:lastRenderedPageBreak/>
        <w:t xml:space="preserve">Rally Coach Strategy significantly outperformed conventional instruction in terms of improving students' reading comprehension achievement. The statistical significance of this difference lends credence to the study's practical implications, suggesting that implementing the Rally Coach Strategy could </w:t>
      </w:r>
      <w:r w:rsidR="00DE6562">
        <w:t>significantly improve</w:t>
      </w:r>
      <w:r w:rsidRPr="00844B75">
        <w:t xml:space="preserve"> students' reading comprehension abilities.</w:t>
      </w:r>
    </w:p>
    <w:p w14:paraId="67E0A72F" w14:textId="63E6FE48" w:rsidR="00883AE9" w:rsidRDefault="00883AE9" w:rsidP="00C03B0B">
      <w:pPr>
        <w:pStyle w:val="92ParagrafKedua"/>
      </w:pPr>
      <w:r w:rsidRPr="00844B75">
        <w:t>In the present study, the t-test was a powerful tool that shed light on the effect of the Rally Coach Strategy on students' reading comprehension achievement. The results supported the alternative hypothesis, demonstrating a statistically significant and substantial distinction between the two instructional approaches. The study confirms the potential benefits of incorporating the Rally Coach Strategy into reading comprehension instruction by refuting the null hypothesis. These findings provide educators and policymakers with valuable insights, highlighting the efficacy of cooperative learning approaches such as the Rally Coach Strategy for enhancing students' reading comprehension skills. The study's rigorous statistical analysis bolsters confidence in the validity and reliability of the results, reinforcing the Rally Coach Strategy's viability as an instructional technique for enhancing students' reading comprehension.</w:t>
      </w:r>
    </w:p>
    <w:p w14:paraId="6EBDF2D1" w14:textId="2FB601F9" w:rsidR="00883AE9" w:rsidRPr="00C03B0B" w:rsidRDefault="00883AE9" w:rsidP="00C03B0B">
      <w:pPr>
        <w:pStyle w:val="92ParagrafKedua"/>
        <w:rPr>
          <w:shd w:val="clear" w:color="auto" w:fill="FFFFFF"/>
        </w:rPr>
      </w:pPr>
      <w:r w:rsidRPr="009006FB">
        <w:t>The novel contribution of this study is the successful application of the Rally Coach Strategy, which is more commonly used in mathematics education research, to eighth-grade students' reading comprehension of recount texts. While the Rally Coach Strategy has been studied extensively in the context of mathematics instruction</w:t>
      </w:r>
      <w:r>
        <w:t xml:space="preserve"> (see </w:t>
      </w:r>
      <w:r w:rsidRPr="00490C8F">
        <w:rPr>
          <w:shd w:val="clear" w:color="auto" w:fill="FFFFFF"/>
        </w:rPr>
        <w:t xml:space="preserve">Pertiwi, </w:t>
      </w:r>
      <w:proofErr w:type="spellStart"/>
      <w:r w:rsidRPr="00490C8F">
        <w:rPr>
          <w:shd w:val="clear" w:color="auto" w:fill="FFFFFF"/>
        </w:rPr>
        <w:t>Kartono</w:t>
      </w:r>
      <w:proofErr w:type="spellEnd"/>
      <w:r>
        <w:rPr>
          <w:shd w:val="clear" w:color="auto" w:fill="FFFFFF"/>
        </w:rPr>
        <w:t xml:space="preserve"> </w:t>
      </w:r>
      <w:r w:rsidRPr="00490C8F">
        <w:rPr>
          <w:shd w:val="clear" w:color="auto" w:fill="FFFFFF"/>
        </w:rPr>
        <w:t xml:space="preserve">&amp; </w:t>
      </w:r>
      <w:proofErr w:type="spellStart"/>
      <w:r w:rsidRPr="00490C8F">
        <w:rPr>
          <w:shd w:val="clear" w:color="auto" w:fill="FFFFFF"/>
        </w:rPr>
        <w:t>Wardono</w:t>
      </w:r>
      <w:proofErr w:type="spellEnd"/>
      <w:r w:rsidRPr="00490C8F">
        <w:rPr>
          <w:shd w:val="clear" w:color="auto" w:fill="FFFFFF"/>
        </w:rPr>
        <w:t>, 2019</w:t>
      </w:r>
      <w:r>
        <w:rPr>
          <w:shd w:val="clear" w:color="auto" w:fill="FFFFFF"/>
        </w:rPr>
        <w:t xml:space="preserve">; </w:t>
      </w:r>
      <w:proofErr w:type="spellStart"/>
      <w:r w:rsidRPr="00490C8F">
        <w:rPr>
          <w:shd w:val="clear" w:color="auto" w:fill="FFFFFF"/>
        </w:rPr>
        <w:t>Harianja</w:t>
      </w:r>
      <w:proofErr w:type="spellEnd"/>
      <w:r w:rsidRPr="00490C8F">
        <w:rPr>
          <w:shd w:val="clear" w:color="auto" w:fill="FFFFFF"/>
        </w:rPr>
        <w:t>, 2020</w:t>
      </w:r>
      <w:r>
        <w:rPr>
          <w:shd w:val="clear" w:color="auto" w:fill="FFFFFF"/>
        </w:rPr>
        <w:t>)</w:t>
      </w:r>
      <w:r w:rsidRPr="009006FB">
        <w:t>,</w:t>
      </w:r>
      <w:r>
        <w:t xml:space="preserve"> </w:t>
      </w:r>
      <w:r w:rsidRPr="009006FB">
        <w:t xml:space="preserve">this is </w:t>
      </w:r>
      <w:r>
        <w:t>one of the seminal studies</w:t>
      </w:r>
      <w:r w:rsidRPr="009006FB">
        <w:t xml:space="preserve"> to adapt and implement it in the context of reading comprehension.</w:t>
      </w:r>
      <w:r>
        <w:t xml:space="preserve"> </w:t>
      </w:r>
      <w:r w:rsidRPr="009006FB">
        <w:t>This study explores the broader applicability and efficacy of the Rally Coach Strategy as an instructional tool for enhancing reading comprehension skills, going beyond its typical application in mathematics. The innovative approach of this study bridges the gap between subject-specific teaching strategies and highlights the potential transferability of cooperative learning techniques to a variety of academic disciplines.</w:t>
      </w:r>
    </w:p>
    <w:p w14:paraId="78197FB8" w14:textId="11ADF97C" w:rsidR="00C03B0B" w:rsidRPr="00C03B0B" w:rsidRDefault="00883AE9" w:rsidP="00843549">
      <w:pPr>
        <w:pStyle w:val="92ParagrafKedua"/>
        <w:rPr>
          <w:b/>
        </w:rPr>
      </w:pPr>
      <w:r w:rsidRPr="009006FB">
        <w:t>The innovative nature of this study, which investigates the novel application of the Rally Coach Strategy in the context of reading comprehension, contributes significantly to the existing educational research landscape. It expands the understanding of effective instructional strategies and demonstrates the potential for cross-disciplinary insights, paving the way for future research to further investigate and optimize the use of cooperative learning approaches in a variety of academic settings.</w:t>
      </w:r>
    </w:p>
    <w:p w14:paraId="72978653" w14:textId="23559893" w:rsidR="0053479D" w:rsidRPr="0077016A" w:rsidRDefault="0053479D" w:rsidP="00DB420C">
      <w:pPr>
        <w:pStyle w:val="6BABArtikel"/>
      </w:pPr>
      <w:r w:rsidRPr="00A761F3">
        <w:t>CONCLUSION</w:t>
      </w:r>
    </w:p>
    <w:p w14:paraId="79C882A9" w14:textId="410C7D86" w:rsidR="00883AE9" w:rsidRPr="00C03B0B" w:rsidRDefault="00883AE9" w:rsidP="00C03B0B">
      <w:pPr>
        <w:pStyle w:val="91ParagrafPertama"/>
      </w:pPr>
      <w:r w:rsidRPr="00883AE9">
        <w:rPr>
          <w:lang w:val="en-US"/>
        </w:rPr>
        <w:t>Th</w:t>
      </w:r>
      <w:r w:rsidR="00DE6562">
        <w:rPr>
          <w:lang w:val="en-US"/>
        </w:rPr>
        <w:t>is study aim</w:t>
      </w:r>
      <w:r w:rsidRPr="00883AE9">
        <w:rPr>
          <w:lang w:val="en-US"/>
        </w:rPr>
        <w:t xml:space="preserve">s to determine if there is a significant difference in reading comprehension achievement between students taught using the Rally Coach Strategy and those taught using traditional methods. </w:t>
      </w:r>
      <w:r w:rsidRPr="00883AE9">
        <w:t>The study utilized a quasi-experimental design, with a pre-test post-test control group design. The participants were randomly assigned into an experimental group, which received treatment by using Rally Coach Strategy, and a control group, which followed a conventional learning method. The research findings revealed that the average score of the pre-test in the experimental group was 61.07. After the treatment, the average score of the post-test in the experimental group increased to 78.39, whereas in the control group, it only reached 71.01.</w:t>
      </w:r>
    </w:p>
    <w:p w14:paraId="02AAB4C5" w14:textId="655793F2" w:rsidR="00883AE9" w:rsidRDefault="00883AE9" w:rsidP="00C03B0B">
      <w:pPr>
        <w:pStyle w:val="92ParagrafKedua"/>
      </w:pPr>
      <w:r w:rsidRPr="00883AE9">
        <w:t xml:space="preserve">In order to authenticate the hypothesis, the statistical analysis was conducted using the t-test. The t-test value was </w:t>
      </w:r>
      <w:r w:rsidR="00DE6562">
        <w:t>6.039, while the t-table valu</w:t>
      </w:r>
      <w:r w:rsidRPr="00883AE9">
        <w:t xml:space="preserve">e at the significance level of α=0.05 and a two-tailed test was 2.048. Consequently, it was concluded that the t-test value was higher than the t-table value, which indicated that the null hypothesis (H0) was rejected and the alternative hypothesis (Ha) was accepted. In other words, it could be inferred that using Rally Coach Strategy was effective in enhancing the reading comprehension skills of the eighth-grade students of SMP Negeri 2 </w:t>
      </w:r>
      <w:proofErr w:type="spellStart"/>
      <w:r w:rsidRPr="00883AE9">
        <w:t>Lhokseumawe</w:t>
      </w:r>
      <w:proofErr w:type="spellEnd"/>
      <w:r w:rsidRPr="00883AE9">
        <w:t xml:space="preserve">. These results have important implications for educators and </w:t>
      </w:r>
      <w:r w:rsidRPr="00883AE9">
        <w:lastRenderedPageBreak/>
        <w:t>policymakers in improving the quality of education and promoting innovative teaching strategies in the classroom.</w:t>
      </w:r>
      <w:r w:rsidR="0053479D" w:rsidRPr="0077016A">
        <w:t xml:space="preserve"> </w:t>
      </w:r>
    </w:p>
    <w:p w14:paraId="35B9D793" w14:textId="22D2D051" w:rsidR="0053479D" w:rsidRDefault="0053479D" w:rsidP="00DB420C">
      <w:pPr>
        <w:pStyle w:val="6BABArtikel"/>
      </w:pPr>
      <w:r w:rsidRPr="0077016A">
        <w:t>REFERENCES</w:t>
      </w:r>
    </w:p>
    <w:p w14:paraId="73298277" w14:textId="77777777" w:rsidR="00883AE9" w:rsidRPr="00490C8F" w:rsidRDefault="00883AE9" w:rsidP="00883AE9">
      <w:pPr>
        <w:pStyle w:val="97Referensi"/>
      </w:pPr>
      <w:r w:rsidRPr="00490C8F">
        <w:t>Adrian, D. (2014). Teach English: Training Course for Teacher, Trainers Hand Book. New York: University press.</w:t>
      </w:r>
    </w:p>
    <w:p w14:paraId="1A7EFF1A" w14:textId="77777777" w:rsidR="00883AE9" w:rsidRPr="00490C8F" w:rsidRDefault="00883AE9" w:rsidP="00883AE9">
      <w:pPr>
        <w:pStyle w:val="97Referensi"/>
      </w:pPr>
      <w:r w:rsidRPr="00490C8F">
        <w:t xml:space="preserve">Albert, J.H. (2015). </w:t>
      </w:r>
      <w:r w:rsidRPr="00490C8F">
        <w:rPr>
          <w:i/>
          <w:iCs/>
        </w:rPr>
        <w:t>How to increase Reading Ability</w:t>
      </w:r>
      <w:r w:rsidRPr="00490C8F">
        <w:t>. New York: Longman, Inc.</w:t>
      </w:r>
    </w:p>
    <w:p w14:paraId="150D4ECE" w14:textId="77777777" w:rsidR="00883AE9" w:rsidRPr="00490C8F" w:rsidRDefault="00883AE9" w:rsidP="00883AE9">
      <w:pPr>
        <w:pStyle w:val="97Referensi"/>
      </w:pPr>
      <w:r w:rsidRPr="00490C8F">
        <w:t xml:space="preserve">Anderson, M., &amp; Anderson, K. (2013). </w:t>
      </w:r>
      <w:r w:rsidRPr="00490C8F">
        <w:rPr>
          <w:i/>
          <w:iCs/>
        </w:rPr>
        <w:t>Text Type in English</w:t>
      </w:r>
      <w:r w:rsidRPr="00490C8F">
        <w:t>. Sydney: Macmillan Education.</w:t>
      </w:r>
    </w:p>
    <w:p w14:paraId="3A94FDD1" w14:textId="77777777" w:rsidR="00883AE9" w:rsidRPr="00490C8F" w:rsidRDefault="00883AE9" w:rsidP="00883AE9">
      <w:pPr>
        <w:pStyle w:val="97Referensi"/>
      </w:pPr>
      <w:proofErr w:type="spellStart"/>
      <w:r w:rsidRPr="00490C8F">
        <w:t>Ary</w:t>
      </w:r>
      <w:proofErr w:type="spellEnd"/>
      <w:r w:rsidRPr="00490C8F">
        <w:t xml:space="preserve">, D. (2013). </w:t>
      </w:r>
      <w:r w:rsidRPr="00490C8F">
        <w:rPr>
          <w:i/>
          <w:iCs/>
        </w:rPr>
        <w:t>Introduction to Research in Education (Eighth Edition).</w:t>
      </w:r>
      <w:r w:rsidRPr="00490C8F">
        <w:t xml:space="preserve"> United States of Amerika: Wadsworth.</w:t>
      </w:r>
    </w:p>
    <w:p w14:paraId="00DA119F" w14:textId="77777777" w:rsidR="00883AE9" w:rsidRPr="00490C8F" w:rsidRDefault="00883AE9" w:rsidP="00883AE9">
      <w:pPr>
        <w:pStyle w:val="97Referensi"/>
      </w:pPr>
      <w:r w:rsidRPr="00490C8F">
        <w:t xml:space="preserve">Barwick, J. (2013). </w:t>
      </w:r>
      <w:r w:rsidRPr="00490C8F">
        <w:rPr>
          <w:i/>
          <w:iCs/>
        </w:rPr>
        <w:t>Targeting Text</w:t>
      </w:r>
      <w:r w:rsidRPr="00490C8F">
        <w:t>. Clayton, South Vic: Blake Education.</w:t>
      </w:r>
    </w:p>
    <w:p w14:paraId="48E2BA4E" w14:textId="77777777" w:rsidR="00883AE9" w:rsidRPr="00490C8F" w:rsidRDefault="00883AE9" w:rsidP="00883AE9">
      <w:pPr>
        <w:pStyle w:val="97Referensi"/>
      </w:pPr>
      <w:proofErr w:type="spellStart"/>
      <w:r w:rsidRPr="00490C8F">
        <w:t>Berns</w:t>
      </w:r>
      <w:proofErr w:type="spellEnd"/>
      <w:r w:rsidRPr="00490C8F">
        <w:t xml:space="preserve">, R.G., Erickson, P.M. (2016). </w:t>
      </w:r>
      <w:r w:rsidRPr="00490C8F">
        <w:rPr>
          <w:i/>
          <w:iCs/>
        </w:rPr>
        <w:t>Contextual Teaching and Learning: Preparing Students for the New Economy</w:t>
      </w:r>
      <w:r w:rsidRPr="00490C8F">
        <w:t>. Washington, DC: Office of Vocational.</w:t>
      </w:r>
    </w:p>
    <w:p w14:paraId="3D122F5C" w14:textId="77777777" w:rsidR="00883AE9" w:rsidRPr="00490C8F" w:rsidRDefault="00883AE9" w:rsidP="00883AE9">
      <w:pPr>
        <w:pStyle w:val="97Referensi"/>
      </w:pPr>
      <w:r w:rsidRPr="00490C8F">
        <w:t xml:space="preserve">BNSK. (2013). </w:t>
      </w:r>
      <w:r w:rsidRPr="00490C8F">
        <w:rPr>
          <w:i/>
          <w:iCs/>
        </w:rPr>
        <w:t>Standard Content of the Curriculum 2013</w:t>
      </w:r>
      <w:r w:rsidRPr="00490C8F">
        <w:t xml:space="preserve">. Jakarta: </w:t>
      </w:r>
      <w:proofErr w:type="spellStart"/>
      <w:r w:rsidRPr="00490C8F">
        <w:t>Kemdikbud</w:t>
      </w:r>
      <w:proofErr w:type="spellEnd"/>
      <w:r w:rsidRPr="00490C8F">
        <w:t>.</w:t>
      </w:r>
    </w:p>
    <w:p w14:paraId="7DAFA65F" w14:textId="77777777" w:rsidR="00883AE9" w:rsidRPr="00490C8F" w:rsidRDefault="00883AE9" w:rsidP="00883AE9">
      <w:pPr>
        <w:pStyle w:val="97Referensi"/>
      </w:pPr>
      <w:proofErr w:type="spellStart"/>
      <w:r w:rsidRPr="00490C8F">
        <w:t>Bukart</w:t>
      </w:r>
      <w:proofErr w:type="spellEnd"/>
      <w:r w:rsidRPr="00490C8F">
        <w:t xml:space="preserve">, G.S. (2018).  </w:t>
      </w:r>
      <w:r w:rsidRPr="00490C8F">
        <w:rPr>
          <w:i/>
          <w:iCs/>
        </w:rPr>
        <w:t>Reading in the Beginning and Intermediate Foreign Language class</w:t>
      </w:r>
      <w:r w:rsidRPr="00490C8F">
        <w:t>. Washington: Wallace.</w:t>
      </w:r>
    </w:p>
    <w:p w14:paraId="568E956D" w14:textId="77777777" w:rsidR="00883AE9" w:rsidRPr="00490C8F" w:rsidRDefault="00883AE9" w:rsidP="00883AE9">
      <w:pPr>
        <w:pStyle w:val="97Referensi"/>
      </w:pPr>
      <w:r w:rsidRPr="00490C8F">
        <w:rPr>
          <w:rFonts w:cs="Arial"/>
          <w:shd w:val="clear" w:color="auto" w:fill="FFFFFF"/>
        </w:rPr>
        <w:t>Cain, K. (2022). Children's reading comprehension difficulties. The Science of Reading: A Handbook, 298-322</w:t>
      </w:r>
      <w:r w:rsidRPr="00490C8F">
        <w:rPr>
          <w:rFonts w:cs="Arial"/>
          <w:color w:val="222222"/>
          <w:shd w:val="clear" w:color="auto" w:fill="FFFFFF"/>
        </w:rPr>
        <w:t xml:space="preserve">. DOI: </w:t>
      </w:r>
      <w:hyperlink r:id="rId8" w:history="1">
        <w:r w:rsidRPr="00490C8F">
          <w:rPr>
            <w:rStyle w:val="Hyperlink"/>
            <w:rFonts w:cs="Arial"/>
            <w:shd w:val="clear" w:color="auto" w:fill="FFFFFF"/>
          </w:rPr>
          <w:t>https://doi.org/10.1002/9781119705116.ch14</w:t>
        </w:r>
      </w:hyperlink>
    </w:p>
    <w:p w14:paraId="37076DCF" w14:textId="77777777" w:rsidR="00883AE9" w:rsidRPr="00490C8F" w:rsidRDefault="00883AE9" w:rsidP="00883AE9">
      <w:pPr>
        <w:pStyle w:val="97Referensi"/>
        <w:rPr>
          <w:shd w:val="clear" w:color="auto" w:fill="FFFFFF"/>
        </w:rPr>
      </w:pPr>
      <w:r w:rsidRPr="00490C8F">
        <w:rPr>
          <w:shd w:val="clear" w:color="auto" w:fill="FFFFFF"/>
        </w:rPr>
        <w:t xml:space="preserve">Davoudi, A. H. M., &amp; </w:t>
      </w:r>
      <w:proofErr w:type="spellStart"/>
      <w:r w:rsidRPr="00490C8F">
        <w:rPr>
          <w:shd w:val="clear" w:color="auto" w:fill="FFFFFF"/>
        </w:rPr>
        <w:t>Mahinpo</w:t>
      </w:r>
      <w:proofErr w:type="spellEnd"/>
      <w:r w:rsidRPr="00490C8F">
        <w:rPr>
          <w:shd w:val="clear" w:color="auto" w:fill="FFFFFF"/>
        </w:rPr>
        <w:t>, B. (2012). Kagan cooperative learning model: The bridge to foreign language learning in the third millennium. </w:t>
      </w:r>
      <w:r w:rsidRPr="00490C8F">
        <w:rPr>
          <w:i/>
          <w:iCs/>
          <w:shd w:val="clear" w:color="auto" w:fill="FFFFFF"/>
        </w:rPr>
        <w:t>Theory and Practice in Language Studies</w:t>
      </w:r>
      <w:r w:rsidRPr="00490C8F">
        <w:rPr>
          <w:shd w:val="clear" w:color="auto" w:fill="FFFFFF"/>
        </w:rPr>
        <w:t>, </w:t>
      </w:r>
      <w:r w:rsidRPr="00490C8F">
        <w:rPr>
          <w:i/>
          <w:iCs/>
          <w:shd w:val="clear" w:color="auto" w:fill="FFFFFF"/>
        </w:rPr>
        <w:t>2</w:t>
      </w:r>
      <w:r w:rsidRPr="00490C8F">
        <w:rPr>
          <w:shd w:val="clear" w:color="auto" w:fill="FFFFFF"/>
        </w:rPr>
        <w:t xml:space="preserve">(6), 1134. DOI: </w:t>
      </w:r>
      <w:hyperlink r:id="rId9" w:history="1">
        <w:r w:rsidRPr="00490C8F">
          <w:rPr>
            <w:rStyle w:val="Hyperlink"/>
            <w:shd w:val="clear" w:color="auto" w:fill="FFFFFF"/>
          </w:rPr>
          <w:t>https://dx.doi.org/10.4304/tpls.2.6.1134-1140</w:t>
        </w:r>
      </w:hyperlink>
    </w:p>
    <w:p w14:paraId="330C77AA" w14:textId="77777777" w:rsidR="00883AE9" w:rsidRPr="00490C8F" w:rsidRDefault="00883AE9" w:rsidP="00883AE9">
      <w:pPr>
        <w:pStyle w:val="97Referensi"/>
      </w:pPr>
      <w:proofErr w:type="spellStart"/>
      <w:r w:rsidRPr="00490C8F">
        <w:t>Djiwandoyo</w:t>
      </w:r>
      <w:proofErr w:type="spellEnd"/>
      <w:r w:rsidRPr="00490C8F">
        <w:t xml:space="preserve">, P.I. (2012). </w:t>
      </w:r>
      <w:r w:rsidRPr="00490C8F">
        <w:rPr>
          <w:i/>
          <w:iCs/>
        </w:rPr>
        <w:t xml:space="preserve">Strategi </w:t>
      </w:r>
      <w:proofErr w:type="spellStart"/>
      <w:r w:rsidRPr="00490C8F">
        <w:rPr>
          <w:i/>
          <w:iCs/>
        </w:rPr>
        <w:t>Membaca</w:t>
      </w:r>
      <w:proofErr w:type="spellEnd"/>
      <w:r w:rsidRPr="00490C8F">
        <w:rPr>
          <w:i/>
          <w:iCs/>
        </w:rPr>
        <w:t xml:space="preserve"> Bahasa </w:t>
      </w:r>
      <w:proofErr w:type="spellStart"/>
      <w:r w:rsidRPr="00490C8F">
        <w:rPr>
          <w:i/>
          <w:iCs/>
        </w:rPr>
        <w:t>Inggris</w:t>
      </w:r>
      <w:proofErr w:type="spellEnd"/>
      <w:r w:rsidRPr="00490C8F">
        <w:t>. Jakarta: Gramedia Pustaka Utama.</w:t>
      </w:r>
    </w:p>
    <w:p w14:paraId="005789F5" w14:textId="77777777" w:rsidR="00883AE9" w:rsidRPr="00490C8F" w:rsidRDefault="00883AE9" w:rsidP="00883AE9">
      <w:pPr>
        <w:pStyle w:val="97Referensi"/>
      </w:pPr>
      <w:proofErr w:type="spellStart"/>
      <w:r w:rsidRPr="00490C8F">
        <w:rPr>
          <w:rFonts w:cs="Arial"/>
          <w:shd w:val="clear" w:color="auto" w:fill="FFFFFF"/>
        </w:rPr>
        <w:t>Fatahillah</w:t>
      </w:r>
      <w:proofErr w:type="spellEnd"/>
      <w:r w:rsidRPr="00490C8F">
        <w:rPr>
          <w:rFonts w:cs="Arial"/>
          <w:shd w:val="clear" w:color="auto" w:fill="FFFFFF"/>
        </w:rPr>
        <w:t xml:space="preserve">, M., </w:t>
      </w:r>
      <w:proofErr w:type="spellStart"/>
      <w:r w:rsidRPr="00490C8F">
        <w:rPr>
          <w:rFonts w:cs="Arial"/>
          <w:shd w:val="clear" w:color="auto" w:fill="FFFFFF"/>
        </w:rPr>
        <w:t>Nazar</w:t>
      </w:r>
      <w:proofErr w:type="spellEnd"/>
      <w:r w:rsidRPr="00490C8F">
        <w:rPr>
          <w:rFonts w:cs="Arial"/>
          <w:shd w:val="clear" w:color="auto" w:fill="FFFFFF"/>
        </w:rPr>
        <w:t xml:space="preserve">, M., &amp; </w:t>
      </w:r>
      <w:proofErr w:type="spellStart"/>
      <w:r w:rsidRPr="00490C8F">
        <w:rPr>
          <w:rFonts w:cs="Arial"/>
          <w:shd w:val="clear" w:color="auto" w:fill="FFFFFF"/>
        </w:rPr>
        <w:t>Nisrina</w:t>
      </w:r>
      <w:proofErr w:type="spellEnd"/>
      <w:r w:rsidRPr="00490C8F">
        <w:rPr>
          <w:rFonts w:cs="Arial"/>
          <w:shd w:val="clear" w:color="auto" w:fill="FFFFFF"/>
        </w:rPr>
        <w:t>, N. (2023). An Investigation into Reading Strategies Employed by Students for Comprehending Exposition Texts. </w:t>
      </w:r>
      <w:r w:rsidRPr="00490C8F">
        <w:rPr>
          <w:rFonts w:cs="Arial"/>
          <w:i/>
          <w:iCs/>
          <w:shd w:val="clear" w:color="auto" w:fill="FFFFFF"/>
        </w:rPr>
        <w:t>JETLEE: Journal of English Language Teaching, Linguistics, and Literature</w:t>
      </w:r>
      <w:r w:rsidRPr="00490C8F">
        <w:rPr>
          <w:rFonts w:cs="Arial"/>
          <w:shd w:val="clear" w:color="auto" w:fill="FFFFFF"/>
        </w:rPr>
        <w:t>, </w:t>
      </w:r>
      <w:r w:rsidRPr="00490C8F">
        <w:rPr>
          <w:rFonts w:cs="Arial"/>
          <w:i/>
          <w:iCs/>
          <w:shd w:val="clear" w:color="auto" w:fill="FFFFFF"/>
        </w:rPr>
        <w:t>3</w:t>
      </w:r>
      <w:r w:rsidRPr="00490C8F">
        <w:rPr>
          <w:rFonts w:cs="Arial"/>
          <w:shd w:val="clear" w:color="auto" w:fill="FFFFFF"/>
        </w:rPr>
        <w:t>(2), 61-67. DOI</w:t>
      </w:r>
      <w:r w:rsidRPr="00490C8F">
        <w:rPr>
          <w:rFonts w:cs="Arial"/>
          <w:color w:val="222222"/>
          <w:shd w:val="clear" w:color="auto" w:fill="FFFFFF"/>
        </w:rPr>
        <w:t xml:space="preserve">: </w:t>
      </w:r>
      <w:hyperlink r:id="rId10" w:history="1">
        <w:r w:rsidRPr="00490C8F">
          <w:rPr>
            <w:rStyle w:val="Hyperlink"/>
            <w:rFonts w:cs="Arial"/>
            <w:shd w:val="clear" w:color="auto" w:fill="FFFFFF"/>
          </w:rPr>
          <w:t>https://doi.org/10.47766/jetlee.v3i2.1222</w:t>
        </w:r>
      </w:hyperlink>
    </w:p>
    <w:p w14:paraId="39541D46" w14:textId="77777777" w:rsidR="00883AE9" w:rsidRPr="00490C8F" w:rsidRDefault="00883AE9" w:rsidP="00883AE9">
      <w:pPr>
        <w:pStyle w:val="97Referensi"/>
      </w:pPr>
      <w:r w:rsidRPr="00490C8F">
        <w:t xml:space="preserve">Hardy, J., &amp; </w:t>
      </w:r>
      <w:proofErr w:type="spellStart"/>
      <w:r w:rsidRPr="00490C8F">
        <w:t>Klarwein</w:t>
      </w:r>
      <w:proofErr w:type="spellEnd"/>
      <w:r w:rsidRPr="00490C8F">
        <w:t xml:space="preserve">, D. (2016). </w:t>
      </w:r>
      <w:r w:rsidRPr="00490C8F">
        <w:rPr>
          <w:i/>
          <w:iCs/>
        </w:rPr>
        <w:t>Written Genres in the Secondary School</w:t>
      </w:r>
      <w:r w:rsidRPr="00490C8F">
        <w:t xml:space="preserve">. Brisbane: </w:t>
      </w:r>
      <w:proofErr w:type="spellStart"/>
      <w:r w:rsidRPr="00490C8F">
        <w:t>Departement</w:t>
      </w:r>
      <w:proofErr w:type="spellEnd"/>
      <w:r w:rsidRPr="00490C8F">
        <w:t xml:space="preserve"> of Education, Queensland, Australia.</w:t>
      </w:r>
    </w:p>
    <w:p w14:paraId="6AF3D2C8" w14:textId="77777777" w:rsidR="00883AE9" w:rsidRPr="00490C8F" w:rsidRDefault="00883AE9" w:rsidP="00883AE9">
      <w:pPr>
        <w:pStyle w:val="97Referensi"/>
        <w:rPr>
          <w:shd w:val="clear" w:color="auto" w:fill="FFFFFF"/>
        </w:rPr>
      </w:pPr>
      <w:proofErr w:type="spellStart"/>
      <w:r w:rsidRPr="00490C8F">
        <w:rPr>
          <w:shd w:val="clear" w:color="auto" w:fill="FFFFFF"/>
        </w:rPr>
        <w:t>Harianja</w:t>
      </w:r>
      <w:proofErr w:type="spellEnd"/>
      <w:r w:rsidRPr="00490C8F">
        <w:rPr>
          <w:shd w:val="clear" w:color="auto" w:fill="FFFFFF"/>
        </w:rPr>
        <w:t xml:space="preserve">, J. K. (2020). </w:t>
      </w:r>
      <w:proofErr w:type="spellStart"/>
      <w:r w:rsidRPr="00490C8F">
        <w:rPr>
          <w:shd w:val="clear" w:color="auto" w:fill="FFFFFF"/>
        </w:rPr>
        <w:t>Implementasi</w:t>
      </w:r>
      <w:proofErr w:type="spellEnd"/>
      <w:r w:rsidRPr="00490C8F">
        <w:rPr>
          <w:shd w:val="clear" w:color="auto" w:fill="FFFFFF"/>
        </w:rPr>
        <w:t xml:space="preserve"> Rally Coach </w:t>
      </w:r>
      <w:proofErr w:type="spellStart"/>
      <w:r w:rsidRPr="00490C8F">
        <w:rPr>
          <w:shd w:val="clear" w:color="auto" w:fill="FFFFFF"/>
        </w:rPr>
        <w:t>untuk</w:t>
      </w:r>
      <w:proofErr w:type="spellEnd"/>
      <w:r w:rsidRPr="00490C8F">
        <w:rPr>
          <w:shd w:val="clear" w:color="auto" w:fill="FFFFFF"/>
        </w:rPr>
        <w:t xml:space="preserve"> </w:t>
      </w:r>
      <w:proofErr w:type="spellStart"/>
      <w:r w:rsidRPr="00490C8F">
        <w:rPr>
          <w:shd w:val="clear" w:color="auto" w:fill="FFFFFF"/>
        </w:rPr>
        <w:t>Mengembangkan</w:t>
      </w:r>
      <w:proofErr w:type="spellEnd"/>
      <w:r w:rsidRPr="00490C8F">
        <w:rPr>
          <w:shd w:val="clear" w:color="auto" w:fill="FFFFFF"/>
        </w:rPr>
        <w:t xml:space="preserve"> </w:t>
      </w:r>
      <w:proofErr w:type="spellStart"/>
      <w:r w:rsidRPr="00490C8F">
        <w:rPr>
          <w:shd w:val="clear" w:color="auto" w:fill="FFFFFF"/>
        </w:rPr>
        <w:t>Keterampilan</w:t>
      </w:r>
      <w:proofErr w:type="spellEnd"/>
      <w:r w:rsidRPr="00490C8F">
        <w:rPr>
          <w:shd w:val="clear" w:color="auto" w:fill="FFFFFF"/>
        </w:rPr>
        <w:t xml:space="preserve"> </w:t>
      </w:r>
      <w:proofErr w:type="spellStart"/>
      <w:r w:rsidRPr="00490C8F">
        <w:rPr>
          <w:shd w:val="clear" w:color="auto" w:fill="FFFFFF"/>
        </w:rPr>
        <w:t>Berpikir</w:t>
      </w:r>
      <w:proofErr w:type="spellEnd"/>
      <w:r w:rsidRPr="00490C8F">
        <w:rPr>
          <w:shd w:val="clear" w:color="auto" w:fill="FFFFFF"/>
        </w:rPr>
        <w:t xml:space="preserve"> </w:t>
      </w:r>
      <w:proofErr w:type="spellStart"/>
      <w:r w:rsidRPr="00490C8F">
        <w:rPr>
          <w:shd w:val="clear" w:color="auto" w:fill="FFFFFF"/>
        </w:rPr>
        <w:t>Kritis</w:t>
      </w:r>
      <w:proofErr w:type="spellEnd"/>
      <w:r w:rsidRPr="00490C8F">
        <w:rPr>
          <w:shd w:val="clear" w:color="auto" w:fill="FFFFFF"/>
        </w:rPr>
        <w:t xml:space="preserve"> pada Pelajaran </w:t>
      </w:r>
      <w:proofErr w:type="spellStart"/>
      <w:r w:rsidRPr="00490C8F">
        <w:rPr>
          <w:shd w:val="clear" w:color="auto" w:fill="FFFFFF"/>
        </w:rPr>
        <w:t>Matematika</w:t>
      </w:r>
      <w:proofErr w:type="spellEnd"/>
      <w:r w:rsidRPr="00490C8F">
        <w:rPr>
          <w:shd w:val="clear" w:color="auto" w:fill="FFFFFF"/>
        </w:rPr>
        <w:t>. </w:t>
      </w:r>
      <w:proofErr w:type="spellStart"/>
      <w:r w:rsidRPr="00490C8F">
        <w:rPr>
          <w:i/>
          <w:iCs/>
          <w:shd w:val="clear" w:color="auto" w:fill="FFFFFF"/>
        </w:rPr>
        <w:t>Scholaria</w:t>
      </w:r>
      <w:proofErr w:type="spellEnd"/>
      <w:r w:rsidRPr="00490C8F">
        <w:rPr>
          <w:i/>
          <w:iCs/>
          <w:shd w:val="clear" w:color="auto" w:fill="FFFFFF"/>
        </w:rPr>
        <w:t xml:space="preserve">: </w:t>
      </w:r>
      <w:proofErr w:type="spellStart"/>
      <w:r w:rsidRPr="00490C8F">
        <w:rPr>
          <w:i/>
          <w:iCs/>
          <w:shd w:val="clear" w:color="auto" w:fill="FFFFFF"/>
        </w:rPr>
        <w:t>Jurnal</w:t>
      </w:r>
      <w:proofErr w:type="spellEnd"/>
      <w:r w:rsidRPr="00490C8F">
        <w:rPr>
          <w:i/>
          <w:iCs/>
          <w:shd w:val="clear" w:color="auto" w:fill="FFFFFF"/>
        </w:rPr>
        <w:t xml:space="preserve"> Pendidikan dan </w:t>
      </w:r>
      <w:proofErr w:type="spellStart"/>
      <w:r w:rsidRPr="00490C8F">
        <w:rPr>
          <w:i/>
          <w:iCs/>
          <w:shd w:val="clear" w:color="auto" w:fill="FFFFFF"/>
        </w:rPr>
        <w:t>Kebudayaan</w:t>
      </w:r>
      <w:proofErr w:type="spellEnd"/>
      <w:r w:rsidRPr="00490C8F">
        <w:rPr>
          <w:shd w:val="clear" w:color="auto" w:fill="FFFFFF"/>
        </w:rPr>
        <w:t>, </w:t>
      </w:r>
      <w:r w:rsidRPr="00490C8F">
        <w:rPr>
          <w:i/>
          <w:iCs/>
          <w:shd w:val="clear" w:color="auto" w:fill="FFFFFF"/>
        </w:rPr>
        <w:t>10</w:t>
      </w:r>
      <w:r w:rsidRPr="00490C8F">
        <w:rPr>
          <w:shd w:val="clear" w:color="auto" w:fill="FFFFFF"/>
        </w:rPr>
        <w:t xml:space="preserve">(2), 162-170. DOI: </w:t>
      </w:r>
      <w:hyperlink r:id="rId11" w:history="1">
        <w:r w:rsidRPr="00490C8F">
          <w:rPr>
            <w:rStyle w:val="Hyperlink"/>
            <w:shd w:val="clear" w:color="auto" w:fill="FFFFFF"/>
          </w:rPr>
          <w:t>https://doi.org/10.24246/j.js.2020.v10.i2.p162-170</w:t>
        </w:r>
      </w:hyperlink>
    </w:p>
    <w:p w14:paraId="26EA2E68" w14:textId="77777777" w:rsidR="00883AE9" w:rsidRPr="00490C8F" w:rsidRDefault="00883AE9" w:rsidP="00883AE9">
      <w:pPr>
        <w:pStyle w:val="97Referensi"/>
      </w:pPr>
      <w:r w:rsidRPr="00490C8F">
        <w:t xml:space="preserve">Kagan, S. (2017). </w:t>
      </w:r>
      <w:r w:rsidRPr="00490C8F">
        <w:rPr>
          <w:i/>
          <w:iCs/>
        </w:rPr>
        <w:t>Kagan Cooperative Learning Structure</w:t>
      </w:r>
      <w:r w:rsidRPr="00490C8F">
        <w:t>. San Clemente, CA: Kagan Publishing.</w:t>
      </w:r>
    </w:p>
    <w:p w14:paraId="0103070E" w14:textId="77777777" w:rsidR="00883AE9" w:rsidRPr="00490C8F" w:rsidRDefault="00883AE9" w:rsidP="00883AE9">
      <w:pPr>
        <w:pStyle w:val="97Referensi"/>
      </w:pPr>
      <w:r w:rsidRPr="00490C8F">
        <w:t xml:space="preserve">Klinger, W. et al. (2016).  </w:t>
      </w:r>
      <w:r w:rsidRPr="00490C8F">
        <w:rPr>
          <w:i/>
          <w:iCs/>
        </w:rPr>
        <w:t>Factors for Successful in second language learner Volume 2</w:t>
      </w:r>
      <w:r w:rsidRPr="00490C8F">
        <w:t>. New York: Longman, Inc.</w:t>
      </w:r>
    </w:p>
    <w:p w14:paraId="6C324B32" w14:textId="77777777" w:rsidR="00883AE9" w:rsidRPr="00490C8F" w:rsidRDefault="00883AE9" w:rsidP="00883AE9">
      <w:pPr>
        <w:pStyle w:val="97Referensi"/>
      </w:pPr>
      <w:proofErr w:type="spellStart"/>
      <w:r w:rsidRPr="00490C8F">
        <w:t>Lems</w:t>
      </w:r>
      <w:proofErr w:type="spellEnd"/>
      <w:r w:rsidRPr="00490C8F">
        <w:t xml:space="preserve">, K. et al. (2014). </w:t>
      </w:r>
      <w:r w:rsidRPr="00490C8F">
        <w:rPr>
          <w:i/>
          <w:iCs/>
        </w:rPr>
        <w:t>Teaching Reading to English Language Learners Insights from Linguistic</w:t>
      </w:r>
      <w:r w:rsidRPr="00490C8F">
        <w:t>. New York: The Guilford Press.</w:t>
      </w:r>
    </w:p>
    <w:p w14:paraId="607BB653" w14:textId="77777777" w:rsidR="00883AE9" w:rsidRPr="00490C8F" w:rsidRDefault="00883AE9" w:rsidP="00883AE9">
      <w:pPr>
        <w:pStyle w:val="97Referensi"/>
      </w:pPr>
      <w:proofErr w:type="spellStart"/>
      <w:r w:rsidRPr="00490C8F">
        <w:t>Mukarto</w:t>
      </w:r>
      <w:proofErr w:type="spellEnd"/>
      <w:r w:rsidRPr="00490C8F">
        <w:t xml:space="preserve">. et, al. (2009). </w:t>
      </w:r>
      <w:r w:rsidRPr="00490C8F">
        <w:rPr>
          <w:i/>
          <w:iCs/>
        </w:rPr>
        <w:t>English on SW for Junior High School Year VI M</w:t>
      </w:r>
      <w:r w:rsidRPr="00490C8F">
        <w:t xml:space="preserve">. Jakarta: </w:t>
      </w:r>
      <w:proofErr w:type="spellStart"/>
      <w:r w:rsidRPr="00490C8F">
        <w:t>Erlangga</w:t>
      </w:r>
      <w:proofErr w:type="spellEnd"/>
      <w:r w:rsidRPr="00490C8F">
        <w:t>.</w:t>
      </w:r>
    </w:p>
    <w:p w14:paraId="050E6898" w14:textId="77777777" w:rsidR="00883AE9" w:rsidRPr="00490C8F" w:rsidRDefault="00883AE9" w:rsidP="00883AE9">
      <w:pPr>
        <w:pStyle w:val="97Referensi"/>
      </w:pPr>
      <w:proofErr w:type="spellStart"/>
      <w:r w:rsidRPr="002E22C0">
        <w:rPr>
          <w:rFonts w:cs="Arial"/>
          <w:shd w:val="clear" w:color="auto" w:fill="FFFFFF"/>
        </w:rPr>
        <w:t>Okkinga</w:t>
      </w:r>
      <w:proofErr w:type="spellEnd"/>
      <w:r w:rsidRPr="002E22C0">
        <w:rPr>
          <w:rFonts w:cs="Arial"/>
          <w:shd w:val="clear" w:color="auto" w:fill="FFFFFF"/>
        </w:rPr>
        <w:t xml:space="preserve">, M., </w:t>
      </w:r>
      <w:proofErr w:type="spellStart"/>
      <w:r w:rsidRPr="002E22C0">
        <w:rPr>
          <w:rFonts w:cs="Arial"/>
          <w:shd w:val="clear" w:color="auto" w:fill="FFFFFF"/>
        </w:rPr>
        <w:t>Gelderen</w:t>
      </w:r>
      <w:proofErr w:type="spellEnd"/>
      <w:r w:rsidRPr="002E22C0">
        <w:rPr>
          <w:rFonts w:cs="Arial"/>
          <w:shd w:val="clear" w:color="auto" w:fill="FFFFFF"/>
        </w:rPr>
        <w:t xml:space="preserve">, A. V., </w:t>
      </w:r>
      <w:proofErr w:type="spellStart"/>
      <w:r w:rsidRPr="002E22C0">
        <w:rPr>
          <w:rFonts w:cs="Arial"/>
          <w:shd w:val="clear" w:color="auto" w:fill="FFFFFF"/>
        </w:rPr>
        <w:t>Schooten</w:t>
      </w:r>
      <w:proofErr w:type="spellEnd"/>
      <w:r w:rsidRPr="002E22C0">
        <w:rPr>
          <w:rFonts w:cs="Arial"/>
          <w:shd w:val="clear" w:color="auto" w:fill="FFFFFF"/>
        </w:rPr>
        <w:t xml:space="preserve">, E. V., </w:t>
      </w:r>
      <w:proofErr w:type="spellStart"/>
      <w:r w:rsidRPr="002E22C0">
        <w:rPr>
          <w:rFonts w:cs="Arial"/>
          <w:shd w:val="clear" w:color="auto" w:fill="FFFFFF"/>
        </w:rPr>
        <w:t>Steensel</w:t>
      </w:r>
      <w:proofErr w:type="spellEnd"/>
      <w:r w:rsidRPr="002E22C0">
        <w:rPr>
          <w:rFonts w:cs="Arial"/>
          <w:shd w:val="clear" w:color="auto" w:fill="FFFFFF"/>
        </w:rPr>
        <w:t xml:space="preserve">, R. V., &amp; </w:t>
      </w:r>
      <w:proofErr w:type="spellStart"/>
      <w:r w:rsidRPr="002E22C0">
        <w:rPr>
          <w:rFonts w:cs="Arial"/>
          <w:shd w:val="clear" w:color="auto" w:fill="FFFFFF"/>
        </w:rPr>
        <w:t>Sleegers</w:t>
      </w:r>
      <w:proofErr w:type="spellEnd"/>
      <w:r w:rsidRPr="002E22C0">
        <w:rPr>
          <w:rFonts w:cs="Arial"/>
          <w:shd w:val="clear" w:color="auto" w:fill="FFFFFF"/>
        </w:rPr>
        <w:t xml:space="preserve">, P. J. C. (2022). Does vocabulary knowledge matter in the effectiveness of instructing reading strategies? Differential responses from adolescents with low academic achievement on growth in </w:t>
      </w:r>
      <w:r w:rsidRPr="002E22C0">
        <w:rPr>
          <w:rFonts w:cs="Arial"/>
          <w:shd w:val="clear" w:color="auto" w:fill="FFFFFF"/>
        </w:rPr>
        <w:lastRenderedPageBreak/>
        <w:t>reading comprehension. </w:t>
      </w:r>
      <w:r w:rsidRPr="002E22C0">
        <w:rPr>
          <w:rFonts w:cs="Arial"/>
          <w:i/>
          <w:iCs/>
          <w:shd w:val="clear" w:color="auto" w:fill="FFFFFF"/>
        </w:rPr>
        <w:t>Reading and Writing</w:t>
      </w:r>
      <w:r w:rsidRPr="002E22C0">
        <w:rPr>
          <w:rFonts w:cs="Arial"/>
          <w:shd w:val="clear" w:color="auto" w:fill="FFFFFF"/>
        </w:rPr>
        <w:t>, 1-27.</w:t>
      </w:r>
      <w:r w:rsidRPr="00490C8F">
        <w:rPr>
          <w:rFonts w:cs="Arial"/>
          <w:shd w:val="clear" w:color="auto" w:fill="FFFFFF"/>
        </w:rPr>
        <w:t xml:space="preserve"> DOI</w:t>
      </w:r>
      <w:r w:rsidRPr="00490C8F">
        <w:rPr>
          <w:rFonts w:cs="Arial"/>
          <w:color w:val="222222"/>
          <w:shd w:val="clear" w:color="auto" w:fill="FFFFFF"/>
        </w:rPr>
        <w:t xml:space="preserve">: </w:t>
      </w:r>
      <w:hyperlink r:id="rId12" w:history="1">
        <w:r w:rsidRPr="00490C8F">
          <w:rPr>
            <w:rStyle w:val="Hyperlink"/>
            <w:rFonts w:cs="Arial"/>
            <w:shd w:val="clear" w:color="auto" w:fill="FFFFFF"/>
          </w:rPr>
          <w:t>https://doi.org/10.1007/s11145-022-10359-2</w:t>
        </w:r>
      </w:hyperlink>
    </w:p>
    <w:p w14:paraId="14CF4BEA" w14:textId="77777777" w:rsidR="00883AE9" w:rsidRPr="00490C8F" w:rsidRDefault="00883AE9" w:rsidP="00883AE9">
      <w:pPr>
        <w:pStyle w:val="97Referensi"/>
        <w:rPr>
          <w:shd w:val="clear" w:color="auto" w:fill="FFFFFF"/>
        </w:rPr>
      </w:pPr>
      <w:r w:rsidRPr="00490C8F">
        <w:rPr>
          <w:shd w:val="clear" w:color="auto" w:fill="FFFFFF"/>
        </w:rPr>
        <w:t xml:space="preserve">Pertiwi, R. D., </w:t>
      </w:r>
      <w:proofErr w:type="spellStart"/>
      <w:r w:rsidRPr="00490C8F">
        <w:rPr>
          <w:shd w:val="clear" w:color="auto" w:fill="FFFFFF"/>
        </w:rPr>
        <w:t>Kartono</w:t>
      </w:r>
      <w:proofErr w:type="spellEnd"/>
      <w:r w:rsidRPr="00490C8F">
        <w:rPr>
          <w:shd w:val="clear" w:color="auto" w:fill="FFFFFF"/>
        </w:rPr>
        <w:t xml:space="preserve">, K., &amp; </w:t>
      </w:r>
      <w:proofErr w:type="spellStart"/>
      <w:r w:rsidRPr="00490C8F">
        <w:rPr>
          <w:shd w:val="clear" w:color="auto" w:fill="FFFFFF"/>
        </w:rPr>
        <w:t>Wardono</w:t>
      </w:r>
      <w:proofErr w:type="spellEnd"/>
      <w:r w:rsidRPr="00490C8F">
        <w:rPr>
          <w:shd w:val="clear" w:color="auto" w:fill="FFFFFF"/>
        </w:rPr>
        <w:t>, W. (2019). Students’ Mathematical Literacy Ability in Learning Using Rally Coach-Schoology Model with Diagnostic Assessment. </w:t>
      </w:r>
      <w:proofErr w:type="spellStart"/>
      <w:r w:rsidRPr="00490C8F">
        <w:rPr>
          <w:i/>
          <w:iCs/>
          <w:shd w:val="clear" w:color="auto" w:fill="FFFFFF"/>
        </w:rPr>
        <w:t>Unnes</w:t>
      </w:r>
      <w:proofErr w:type="spellEnd"/>
      <w:r w:rsidRPr="00490C8F">
        <w:rPr>
          <w:i/>
          <w:iCs/>
          <w:shd w:val="clear" w:color="auto" w:fill="FFFFFF"/>
        </w:rPr>
        <w:t xml:space="preserve"> Journal of Mathematics Education Research</w:t>
      </w:r>
      <w:r w:rsidRPr="00490C8F">
        <w:rPr>
          <w:shd w:val="clear" w:color="auto" w:fill="FFFFFF"/>
        </w:rPr>
        <w:t>, </w:t>
      </w:r>
      <w:r w:rsidRPr="00490C8F">
        <w:rPr>
          <w:i/>
          <w:iCs/>
          <w:shd w:val="clear" w:color="auto" w:fill="FFFFFF"/>
        </w:rPr>
        <w:t>8</w:t>
      </w:r>
      <w:r w:rsidRPr="00490C8F">
        <w:rPr>
          <w:shd w:val="clear" w:color="auto" w:fill="FFFFFF"/>
        </w:rPr>
        <w:t xml:space="preserve">(2), 236-247. Retrieved from </w:t>
      </w:r>
      <w:hyperlink r:id="rId13" w:history="1">
        <w:r w:rsidRPr="00490C8F">
          <w:rPr>
            <w:rStyle w:val="Hyperlink"/>
            <w:shd w:val="clear" w:color="auto" w:fill="FFFFFF"/>
          </w:rPr>
          <w:t>https://journal.unnes.ac.id/sju/index.php/ujmer/article/view/27716</w:t>
        </w:r>
      </w:hyperlink>
    </w:p>
    <w:p w14:paraId="6FA0086D" w14:textId="77777777" w:rsidR="00883AE9" w:rsidRPr="00490C8F" w:rsidRDefault="00883AE9" w:rsidP="00883AE9">
      <w:pPr>
        <w:pStyle w:val="97Referensi"/>
      </w:pPr>
      <w:proofErr w:type="spellStart"/>
      <w:r w:rsidRPr="002E22C0">
        <w:rPr>
          <w:rFonts w:cs="Arial"/>
          <w:shd w:val="clear" w:color="auto" w:fill="FFFFFF"/>
        </w:rPr>
        <w:t>Raudszus</w:t>
      </w:r>
      <w:proofErr w:type="spellEnd"/>
      <w:r w:rsidRPr="002E22C0">
        <w:rPr>
          <w:rFonts w:cs="Arial"/>
          <w:shd w:val="clear" w:color="auto" w:fill="FFFFFF"/>
        </w:rPr>
        <w:t xml:space="preserve">, H., </w:t>
      </w:r>
      <w:proofErr w:type="spellStart"/>
      <w:r w:rsidRPr="002E22C0">
        <w:rPr>
          <w:rFonts w:cs="Arial"/>
          <w:shd w:val="clear" w:color="auto" w:fill="FFFFFF"/>
        </w:rPr>
        <w:t>Segers</w:t>
      </w:r>
      <w:proofErr w:type="spellEnd"/>
      <w:r w:rsidRPr="002E22C0">
        <w:rPr>
          <w:rFonts w:cs="Arial"/>
          <w:shd w:val="clear" w:color="auto" w:fill="FFFFFF"/>
        </w:rPr>
        <w:t>, E., &amp; Verhoeven, L. (2021). Patterns and predictors of reading comprehension growth in first and second language readers. </w:t>
      </w:r>
      <w:r w:rsidRPr="002E22C0">
        <w:rPr>
          <w:rFonts w:cs="Arial"/>
          <w:i/>
          <w:iCs/>
          <w:shd w:val="clear" w:color="auto" w:fill="FFFFFF"/>
        </w:rPr>
        <w:t>Journal of Research in Reading</w:t>
      </w:r>
      <w:r w:rsidRPr="002E22C0">
        <w:rPr>
          <w:rFonts w:cs="Arial"/>
          <w:shd w:val="clear" w:color="auto" w:fill="FFFFFF"/>
        </w:rPr>
        <w:t>, </w:t>
      </w:r>
      <w:r w:rsidRPr="002E22C0">
        <w:rPr>
          <w:rFonts w:cs="Arial"/>
          <w:i/>
          <w:iCs/>
          <w:shd w:val="clear" w:color="auto" w:fill="FFFFFF"/>
        </w:rPr>
        <w:t>44</w:t>
      </w:r>
      <w:r w:rsidRPr="002E22C0">
        <w:rPr>
          <w:rFonts w:cs="Arial"/>
          <w:shd w:val="clear" w:color="auto" w:fill="FFFFFF"/>
        </w:rPr>
        <w:t>(2), 400-417.</w:t>
      </w:r>
      <w:r w:rsidRPr="00490C8F">
        <w:rPr>
          <w:rFonts w:cs="Arial"/>
          <w:shd w:val="clear" w:color="auto" w:fill="FFFFFF"/>
        </w:rPr>
        <w:t xml:space="preserve"> DOI: </w:t>
      </w:r>
      <w:hyperlink r:id="rId14" w:history="1">
        <w:r w:rsidRPr="00490C8F">
          <w:rPr>
            <w:rStyle w:val="Hyperlink"/>
            <w:rFonts w:cs="Arial"/>
            <w:shd w:val="clear" w:color="auto" w:fill="FFFFFF"/>
          </w:rPr>
          <w:t>https://doi.org/10.1111/1467-9817.12347</w:t>
        </w:r>
      </w:hyperlink>
    </w:p>
    <w:p w14:paraId="6970352E" w14:textId="77777777" w:rsidR="00883AE9" w:rsidRPr="00490C8F" w:rsidRDefault="00883AE9" w:rsidP="00883AE9">
      <w:pPr>
        <w:pStyle w:val="97Referensi"/>
        <w:rPr>
          <w:shd w:val="clear" w:color="auto" w:fill="FFFFFF"/>
        </w:rPr>
      </w:pPr>
      <w:proofErr w:type="spellStart"/>
      <w:r w:rsidRPr="00490C8F">
        <w:t>Sa’diyah</w:t>
      </w:r>
      <w:proofErr w:type="spellEnd"/>
      <w:r w:rsidRPr="00490C8F">
        <w:t xml:space="preserve">, H. (2015). Improving Students’ Reading Comprehension Using Rally Coach Strategy at SMPN 01Kedung </w:t>
      </w:r>
      <w:proofErr w:type="spellStart"/>
      <w:r w:rsidRPr="00490C8F">
        <w:t>Jajang</w:t>
      </w:r>
      <w:proofErr w:type="spellEnd"/>
      <w:r w:rsidRPr="00490C8F">
        <w:t xml:space="preserve"> </w:t>
      </w:r>
      <w:proofErr w:type="spellStart"/>
      <w:r w:rsidRPr="00490C8F">
        <w:t>Lumajang</w:t>
      </w:r>
      <w:proofErr w:type="spellEnd"/>
      <w:r w:rsidRPr="00490C8F">
        <w:t xml:space="preserve"> East Java Indonesia. Bachelor Thesis, University of Muhammadiyah </w:t>
      </w:r>
      <w:proofErr w:type="spellStart"/>
      <w:r w:rsidRPr="00490C8F">
        <w:t>Jember</w:t>
      </w:r>
      <w:proofErr w:type="spellEnd"/>
      <w:r w:rsidRPr="00490C8F">
        <w:t xml:space="preserve">. Accessed from </w:t>
      </w:r>
      <w:hyperlink r:id="rId15" w:history="1">
        <w:r w:rsidRPr="00490C8F">
          <w:rPr>
            <w:rStyle w:val="Hyperlink"/>
          </w:rPr>
          <w:t>http://repository.unmuhjember.ac.id/1671/</w:t>
        </w:r>
      </w:hyperlink>
    </w:p>
    <w:p w14:paraId="10B52205" w14:textId="77777777" w:rsidR="00883AE9" w:rsidRPr="00490C8F" w:rsidRDefault="00883AE9" w:rsidP="00883AE9">
      <w:pPr>
        <w:pStyle w:val="97Referensi"/>
      </w:pPr>
      <w:r w:rsidRPr="00490C8F">
        <w:rPr>
          <w:noProof/>
          <w:lang w:val="en-US"/>
        </w:rPr>
        <w:t xml:space="preserve">Samhudi, S. (2023). Identifying Factors Contributing to Students’ Obstacles in Comprehending Recount Text. JETLEE: Journal of English Language Teaching, Linguistics, and Literature, 3(2), 103-111. DOI: </w:t>
      </w:r>
      <w:hyperlink r:id="rId16" w:history="1">
        <w:r w:rsidRPr="00490C8F">
          <w:rPr>
            <w:rStyle w:val="Hyperlink"/>
            <w:noProof/>
            <w:lang w:val="en-US"/>
          </w:rPr>
          <w:t>https://doi.org/10.47766/jetlee.v3i2.1441</w:t>
        </w:r>
      </w:hyperlink>
    </w:p>
    <w:p w14:paraId="0FE6DA68" w14:textId="77777777" w:rsidR="00883AE9" w:rsidRPr="00490C8F" w:rsidRDefault="00883AE9" w:rsidP="00883AE9">
      <w:pPr>
        <w:pStyle w:val="97Referensi"/>
      </w:pPr>
      <w:proofErr w:type="spellStart"/>
      <w:r w:rsidRPr="00490C8F">
        <w:rPr>
          <w:rFonts w:cs="Arial"/>
          <w:shd w:val="clear" w:color="auto" w:fill="FFFFFF"/>
        </w:rPr>
        <w:t>Silalahi</w:t>
      </w:r>
      <w:proofErr w:type="spellEnd"/>
      <w:r w:rsidRPr="00490C8F">
        <w:rPr>
          <w:rFonts w:cs="Arial"/>
          <w:shd w:val="clear" w:color="auto" w:fill="FFFFFF"/>
        </w:rPr>
        <w:t xml:space="preserve">, D. E., Herman, H., </w:t>
      </w:r>
      <w:proofErr w:type="spellStart"/>
      <w:r w:rsidRPr="00490C8F">
        <w:rPr>
          <w:rFonts w:cs="Arial"/>
          <w:shd w:val="clear" w:color="auto" w:fill="FFFFFF"/>
        </w:rPr>
        <w:t>Sihombing</w:t>
      </w:r>
      <w:proofErr w:type="spellEnd"/>
      <w:r w:rsidRPr="00490C8F">
        <w:rPr>
          <w:rFonts w:cs="Arial"/>
          <w:shd w:val="clear" w:color="auto" w:fill="FFFFFF"/>
        </w:rPr>
        <w:t xml:space="preserve">, P. S. R., </w:t>
      </w:r>
      <w:proofErr w:type="spellStart"/>
      <w:r w:rsidRPr="00490C8F">
        <w:rPr>
          <w:rFonts w:cs="Arial"/>
          <w:shd w:val="clear" w:color="auto" w:fill="FFFFFF"/>
        </w:rPr>
        <w:t>Damanik</w:t>
      </w:r>
      <w:proofErr w:type="spellEnd"/>
      <w:r w:rsidRPr="00490C8F">
        <w:rPr>
          <w:rFonts w:cs="Arial"/>
          <w:shd w:val="clear" w:color="auto" w:fill="FFFFFF"/>
        </w:rPr>
        <w:t xml:space="preserve">, A. S., &amp; </w:t>
      </w:r>
      <w:proofErr w:type="spellStart"/>
      <w:r w:rsidRPr="00490C8F">
        <w:rPr>
          <w:rFonts w:cs="Arial"/>
          <w:shd w:val="clear" w:color="auto" w:fill="FFFFFF"/>
        </w:rPr>
        <w:t>Purba</w:t>
      </w:r>
      <w:proofErr w:type="spellEnd"/>
      <w:r w:rsidRPr="00490C8F">
        <w:rPr>
          <w:rFonts w:cs="Arial"/>
          <w:shd w:val="clear" w:color="auto" w:fill="FFFFFF"/>
        </w:rPr>
        <w:t>, L. (2022). An Analysis of students’ achievement in reading comprehension through higher order thinking skills (HOTS). </w:t>
      </w:r>
      <w:r w:rsidRPr="00490C8F">
        <w:rPr>
          <w:rFonts w:cs="Arial"/>
          <w:i/>
          <w:iCs/>
          <w:shd w:val="clear" w:color="auto" w:fill="FFFFFF"/>
        </w:rPr>
        <w:t>Al-</w:t>
      </w:r>
      <w:proofErr w:type="spellStart"/>
      <w:r w:rsidRPr="00490C8F">
        <w:rPr>
          <w:rFonts w:cs="Arial"/>
          <w:i/>
          <w:iCs/>
          <w:shd w:val="clear" w:color="auto" w:fill="FFFFFF"/>
        </w:rPr>
        <w:t>Ishlah</w:t>
      </w:r>
      <w:proofErr w:type="spellEnd"/>
      <w:r w:rsidRPr="00490C8F">
        <w:rPr>
          <w:rFonts w:cs="Arial"/>
          <w:i/>
          <w:iCs/>
          <w:shd w:val="clear" w:color="auto" w:fill="FFFFFF"/>
        </w:rPr>
        <w:t xml:space="preserve">: </w:t>
      </w:r>
      <w:proofErr w:type="spellStart"/>
      <w:r w:rsidRPr="00490C8F">
        <w:rPr>
          <w:rFonts w:cs="Arial"/>
          <w:i/>
          <w:iCs/>
          <w:shd w:val="clear" w:color="auto" w:fill="FFFFFF"/>
        </w:rPr>
        <w:t>Jurnal</w:t>
      </w:r>
      <w:proofErr w:type="spellEnd"/>
      <w:r w:rsidRPr="00490C8F">
        <w:rPr>
          <w:rFonts w:cs="Arial"/>
          <w:i/>
          <w:iCs/>
          <w:shd w:val="clear" w:color="auto" w:fill="FFFFFF"/>
        </w:rPr>
        <w:t xml:space="preserve"> Pendidikan</w:t>
      </w:r>
      <w:r w:rsidRPr="00490C8F">
        <w:rPr>
          <w:rFonts w:cs="Arial"/>
          <w:shd w:val="clear" w:color="auto" w:fill="FFFFFF"/>
        </w:rPr>
        <w:t>, </w:t>
      </w:r>
      <w:r w:rsidRPr="00490C8F">
        <w:rPr>
          <w:rFonts w:cs="Arial"/>
          <w:i/>
          <w:iCs/>
          <w:shd w:val="clear" w:color="auto" w:fill="FFFFFF"/>
        </w:rPr>
        <w:t>14</w:t>
      </w:r>
      <w:r w:rsidRPr="00490C8F">
        <w:rPr>
          <w:rFonts w:cs="Arial"/>
          <w:shd w:val="clear" w:color="auto" w:fill="FFFFFF"/>
        </w:rPr>
        <w:t>(2), 1853-1868. DOI</w:t>
      </w:r>
      <w:r w:rsidRPr="00490C8F">
        <w:rPr>
          <w:rFonts w:cs="Arial"/>
          <w:color w:val="222222"/>
          <w:shd w:val="clear" w:color="auto" w:fill="FFFFFF"/>
        </w:rPr>
        <w:t xml:space="preserve">: </w:t>
      </w:r>
      <w:hyperlink r:id="rId17" w:history="1">
        <w:r w:rsidRPr="00490C8F">
          <w:rPr>
            <w:rStyle w:val="Hyperlink"/>
            <w:rFonts w:cs="Arial"/>
            <w:shd w:val="clear" w:color="auto" w:fill="FFFFFF"/>
          </w:rPr>
          <w:t>https://doi.org/10.35445/alishlah.v14i2.1249</w:t>
        </w:r>
      </w:hyperlink>
    </w:p>
    <w:p w14:paraId="2655914A" w14:textId="77777777" w:rsidR="00883AE9" w:rsidRPr="00490C8F" w:rsidRDefault="00883AE9" w:rsidP="00883AE9">
      <w:pPr>
        <w:pStyle w:val="97Referensi"/>
      </w:pPr>
      <w:r w:rsidRPr="00490C8F">
        <w:t xml:space="preserve">Singer, H. (2015). Theoretical Models and Process of Reading. </w:t>
      </w:r>
      <w:proofErr w:type="spellStart"/>
      <w:r w:rsidRPr="00490C8F">
        <w:t>Barkeley</w:t>
      </w:r>
      <w:proofErr w:type="spellEnd"/>
      <w:r w:rsidRPr="00490C8F">
        <w:t>: University of California.</w:t>
      </w:r>
    </w:p>
    <w:p w14:paraId="3BB37EA1" w14:textId="77777777" w:rsidR="00883AE9" w:rsidRPr="00490C8F" w:rsidRDefault="00883AE9" w:rsidP="00883AE9">
      <w:pPr>
        <w:pStyle w:val="97Referensi"/>
      </w:pPr>
      <w:r w:rsidRPr="00490C8F">
        <w:t xml:space="preserve">Stewart, J., M. 2015. The Implementation of Two Cooperative Learning Structures, Rally Coach and Teams-Games-Tournaments, in High School Chemistry Courses. Master’s Thesis, Louisiana State University. DOI: 10.31390/gradschool_theses.1684. Accessed from </w:t>
      </w:r>
      <w:hyperlink r:id="rId18" w:history="1">
        <w:r w:rsidRPr="00490C8F">
          <w:rPr>
            <w:rStyle w:val="Hyperlink"/>
          </w:rPr>
          <w:t>https://digitalcommons.lsu.edu/gradschool_theses/1684</w:t>
        </w:r>
      </w:hyperlink>
    </w:p>
    <w:p w14:paraId="700DA98C" w14:textId="77777777" w:rsidR="00883AE9" w:rsidRPr="00490C8F" w:rsidRDefault="00883AE9" w:rsidP="00883AE9">
      <w:pPr>
        <w:pStyle w:val="97Referensi"/>
      </w:pPr>
      <w:r w:rsidRPr="00490C8F">
        <w:t xml:space="preserve">Wallace, M.J. (2012). </w:t>
      </w:r>
      <w:r w:rsidRPr="00490C8F">
        <w:rPr>
          <w:i/>
          <w:iCs/>
        </w:rPr>
        <w:t>Study Skills in English</w:t>
      </w:r>
      <w:r w:rsidRPr="00490C8F">
        <w:t>. London: Cambridge University Press.</w:t>
      </w:r>
    </w:p>
    <w:p w14:paraId="46158017" w14:textId="5B360C03" w:rsidR="0077016A" w:rsidRDefault="00883AE9" w:rsidP="00C03B0B">
      <w:pPr>
        <w:pStyle w:val="97Referensi"/>
      </w:pPr>
      <w:r w:rsidRPr="00490C8F">
        <w:t xml:space="preserve">Widdowson, H. (2017). </w:t>
      </w:r>
      <w:r w:rsidRPr="00490C8F">
        <w:rPr>
          <w:i/>
          <w:iCs/>
        </w:rPr>
        <w:t>The Process and Purpose of Reading</w:t>
      </w:r>
      <w:r w:rsidRPr="00490C8F">
        <w:t>. Oxford: Oxford University Press.</w:t>
      </w:r>
    </w:p>
    <w:p w14:paraId="629E2B51" w14:textId="77777777" w:rsidR="0077016A" w:rsidRPr="0077016A" w:rsidRDefault="0077016A" w:rsidP="00C03B0B">
      <w:pPr>
        <w:rPr>
          <w:rFonts w:ascii="Cambria" w:hAnsi="Cambria"/>
          <w:color w:val="000000" w:themeColor="text1"/>
          <w:sz w:val="22"/>
          <w:szCs w:val="22"/>
        </w:rPr>
      </w:pPr>
    </w:p>
    <w:sectPr w:rsidR="0077016A" w:rsidRPr="0077016A" w:rsidSect="00A20B55">
      <w:headerReference w:type="even" r:id="rId19"/>
      <w:headerReference w:type="default" r:id="rId20"/>
      <w:footerReference w:type="even" r:id="rId21"/>
      <w:footerReference w:type="default" r:id="rId22"/>
      <w:headerReference w:type="first" r:id="rId23"/>
      <w:footerReference w:type="first" r:id="rId24"/>
      <w:pgSz w:w="11900" w:h="16840"/>
      <w:pgMar w:top="1504" w:right="1418" w:bottom="1208" w:left="1418" w:header="709" w:footer="0"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81B9" w14:textId="77777777" w:rsidR="00004DD2" w:rsidRDefault="00004DD2" w:rsidP="0053479D">
      <w:r>
        <w:separator/>
      </w:r>
    </w:p>
    <w:p w14:paraId="2873627C" w14:textId="77777777" w:rsidR="00004DD2" w:rsidRDefault="00004DD2"/>
    <w:p w14:paraId="6D960570" w14:textId="77777777" w:rsidR="00004DD2" w:rsidRDefault="00004DD2"/>
  </w:endnote>
  <w:endnote w:type="continuationSeparator" w:id="0">
    <w:p w14:paraId="64E71722" w14:textId="77777777" w:rsidR="00004DD2" w:rsidRDefault="00004DD2" w:rsidP="0053479D">
      <w:r>
        <w:continuationSeparator/>
      </w:r>
    </w:p>
    <w:p w14:paraId="106F56B6" w14:textId="77777777" w:rsidR="00004DD2" w:rsidRDefault="00004DD2"/>
    <w:p w14:paraId="1A5E320D" w14:textId="77777777" w:rsidR="00004DD2" w:rsidRDefault="00004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brew">
    <w:altName w:val="Arial"/>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7B1F" w14:textId="34F69111" w:rsidR="00E73401" w:rsidRPr="00971290" w:rsidRDefault="00E73401" w:rsidP="00206179">
    <w:pPr>
      <w:pStyle w:val="Footer"/>
      <w:rPr>
        <w:lang w:val="en-US"/>
      </w:rPr>
    </w:pPr>
  </w:p>
  <w:p w14:paraId="7478B623" w14:textId="6801199D" w:rsidR="00E73401" w:rsidRPr="00971290" w:rsidRDefault="00E73401" w:rsidP="0020617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Borders>
        <w:top w:val="none" w:sz="0" w:space="0" w:color="auto"/>
        <w:left w:val="none" w:sz="0" w:space="0" w:color="auto"/>
        <w:bottom w:val="none" w:sz="0" w:space="0" w:color="auto"/>
        <w:right w:val="none" w:sz="0" w:space="0" w:color="auto"/>
        <w:insideH w:val="single" w:sz="4" w:space="0" w:color="C45911" w:themeColor="accent2" w:themeShade="BF"/>
        <w:insideV w:val="none" w:sz="0" w:space="0" w:color="auto"/>
      </w:tblBorders>
      <w:tblLook w:val="04A0" w:firstRow="1" w:lastRow="0" w:firstColumn="1" w:lastColumn="0" w:noHBand="0" w:noVBand="1"/>
    </w:tblPr>
    <w:tblGrid>
      <w:gridCol w:w="5459"/>
      <w:gridCol w:w="3608"/>
    </w:tblGrid>
    <w:tr w:rsidR="00E73401" w14:paraId="3CCDE31D" w14:textId="77777777" w:rsidTr="00B15172">
      <w:tc>
        <w:tcPr>
          <w:tcW w:w="5665" w:type="dxa"/>
          <w:shd w:val="clear" w:color="auto" w:fill="auto"/>
        </w:tcPr>
        <w:p w14:paraId="5F6F77C3" w14:textId="537E9277" w:rsidR="00E73401" w:rsidRDefault="00E73401" w:rsidP="00DD1E49">
          <w:pPr>
            <w:spacing w:line="276" w:lineRule="auto"/>
            <w:jc w:val="both"/>
            <w:rPr>
              <w:rFonts w:ascii="Cambria" w:hAnsi="Cambria"/>
            </w:rPr>
          </w:pPr>
        </w:p>
      </w:tc>
      <w:tc>
        <w:tcPr>
          <w:tcW w:w="3402" w:type="dxa"/>
          <w:vMerge w:val="restart"/>
          <w:shd w:val="clear" w:color="auto" w:fill="auto"/>
          <w:vAlign w:val="center"/>
        </w:tcPr>
        <w:p w14:paraId="52525D30" w14:textId="77777777" w:rsidR="00E73401" w:rsidRPr="000D503D" w:rsidRDefault="00E73401" w:rsidP="00DD1E49">
          <w:pPr>
            <w:spacing w:line="276" w:lineRule="auto"/>
            <w:jc w:val="right"/>
            <w:rPr>
              <w:rFonts w:ascii="Cambria" w:hAnsi="Cambria"/>
              <w:b/>
              <w:bCs/>
              <w:color w:val="002060"/>
              <w:sz w:val="18"/>
              <w:szCs w:val="18"/>
            </w:rPr>
          </w:pPr>
          <w:r w:rsidRPr="000D503D">
            <w:rPr>
              <w:rFonts w:ascii="Cambria" w:hAnsi="Cambria"/>
              <w:b/>
              <w:bCs/>
              <w:color w:val="002060"/>
              <w:sz w:val="18"/>
              <w:szCs w:val="18"/>
            </w:rPr>
            <w:t>http://jurnal.unka.ac.id/index.php/jelpa</w:t>
          </w:r>
        </w:p>
      </w:tc>
    </w:tr>
    <w:tr w:rsidR="00E73401" w14:paraId="2B94E123" w14:textId="77777777" w:rsidTr="00B15172">
      <w:tc>
        <w:tcPr>
          <w:tcW w:w="5665" w:type="dxa"/>
          <w:shd w:val="clear" w:color="auto" w:fill="auto"/>
        </w:tcPr>
        <w:p w14:paraId="418E9FDC" w14:textId="706E03D0" w:rsidR="00E73401" w:rsidRDefault="00E73401" w:rsidP="00DD1E49">
          <w:pPr>
            <w:spacing w:line="276" w:lineRule="auto"/>
            <w:jc w:val="both"/>
            <w:rPr>
              <w:rFonts w:ascii="Cambria" w:hAnsi="Cambria"/>
            </w:rPr>
          </w:pPr>
        </w:p>
      </w:tc>
      <w:tc>
        <w:tcPr>
          <w:tcW w:w="3402" w:type="dxa"/>
          <w:vMerge/>
          <w:shd w:val="clear" w:color="auto" w:fill="auto"/>
        </w:tcPr>
        <w:p w14:paraId="179789F9" w14:textId="77777777" w:rsidR="00E73401" w:rsidRDefault="00E73401" w:rsidP="00DD1E49">
          <w:pPr>
            <w:spacing w:line="276" w:lineRule="auto"/>
            <w:jc w:val="both"/>
            <w:rPr>
              <w:rFonts w:ascii="Cambria" w:hAnsi="Cambria"/>
            </w:rPr>
          </w:pPr>
        </w:p>
      </w:tc>
    </w:tr>
  </w:tbl>
  <w:p w14:paraId="5BFF92F8" w14:textId="00920620" w:rsidR="00E73401" w:rsidRDefault="00E73401" w:rsidP="00DD1E49">
    <w:pPr>
      <w:pStyle w:val="Footer"/>
      <w:tabs>
        <w:tab w:val="center" w:pos="4532"/>
        <w:tab w:val="left" w:pos="5832"/>
        <w:tab w:val="left" w:pos="7294"/>
        <w:tab w:val="right" w:pos="9972"/>
      </w:tabs>
      <w:rPr>
        <w:sz w:val="18"/>
        <w:szCs w:val="18"/>
      </w:rPr>
    </w:pPr>
  </w:p>
  <w:p w14:paraId="23767BDD" w14:textId="77777777" w:rsidR="00E73401" w:rsidRDefault="00E73401" w:rsidP="00DD1E49">
    <w:pPr>
      <w:pStyle w:val="Footer"/>
      <w:tabs>
        <w:tab w:val="center" w:pos="4532"/>
        <w:tab w:val="left" w:pos="5832"/>
        <w:tab w:val="left" w:pos="7294"/>
        <w:tab w:val="right" w:pos="9972"/>
      </w:tabs>
      <w:rPr>
        <w:sz w:val="18"/>
        <w:szCs w:val="18"/>
      </w:rPr>
    </w:pPr>
  </w:p>
  <w:p w14:paraId="46FFD976" w14:textId="77777777" w:rsidR="00E73401" w:rsidRPr="005B54F5" w:rsidRDefault="00E73401" w:rsidP="00DD1E49">
    <w:pPr>
      <w:pStyle w:val="Footer"/>
      <w:tabs>
        <w:tab w:val="center" w:pos="4532"/>
        <w:tab w:val="left" w:pos="5832"/>
        <w:tab w:val="left" w:pos="7294"/>
        <w:tab w:val="right" w:pos="9972"/>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71AE" w14:textId="77777777" w:rsidR="00E73401" w:rsidRPr="00185046" w:rsidRDefault="00E73401" w:rsidP="00C15F6A">
    <w:pPr>
      <w:widowControl w:val="0"/>
      <w:pBdr>
        <w:top w:val="nil"/>
        <w:left w:val="nil"/>
        <w:bottom w:val="nil"/>
        <w:right w:val="nil"/>
        <w:between w:val="nil"/>
      </w:pBdr>
      <w:spacing w:line="96" w:lineRule="auto"/>
      <w:jc w:val="both"/>
      <w:rPr>
        <w:rFonts w:ascii="Cambria" w:hAnsi="Cambria"/>
        <w:color w:val="000000"/>
      </w:rPr>
    </w:pPr>
  </w:p>
  <w:tbl>
    <w:tblPr>
      <w:tblW w:w="9054" w:type="dxa"/>
      <w:tblBorders>
        <w:top w:val="nil"/>
        <w:left w:val="nil"/>
        <w:bottom w:val="nil"/>
        <w:right w:val="nil"/>
        <w:insideH w:val="nil"/>
        <w:insideV w:val="nil"/>
      </w:tblBorders>
      <w:tblLayout w:type="fixed"/>
      <w:tblLook w:val="0400" w:firstRow="0" w:lastRow="0" w:firstColumn="0" w:lastColumn="0" w:noHBand="0" w:noVBand="1"/>
    </w:tblPr>
    <w:tblGrid>
      <w:gridCol w:w="1985"/>
      <w:gridCol w:w="1639"/>
      <w:gridCol w:w="1810"/>
      <w:gridCol w:w="1810"/>
      <w:gridCol w:w="1810"/>
    </w:tblGrid>
    <w:tr w:rsidR="00E73401" w:rsidRPr="00185046" w14:paraId="015135C7" w14:textId="77777777" w:rsidTr="00E73401">
      <w:trPr>
        <w:trHeight w:val="116"/>
      </w:trPr>
      <w:tc>
        <w:tcPr>
          <w:tcW w:w="1985" w:type="dxa"/>
          <w:tcBorders>
            <w:bottom w:val="single" w:sz="4" w:space="0" w:color="C45911" w:themeColor="accent2" w:themeShade="BF"/>
          </w:tcBorders>
        </w:tcPr>
        <w:p w14:paraId="25C6D0E5" w14:textId="77777777" w:rsidR="00E73401" w:rsidRDefault="00E73401" w:rsidP="007C63D9">
          <w:pPr>
            <w:spacing w:line="276" w:lineRule="auto"/>
            <w:jc w:val="both"/>
            <w:rPr>
              <w:rFonts w:ascii="Cambria" w:eastAsia="Cambria" w:hAnsi="Cambria" w:cs="Cambria"/>
              <w:sz w:val="2"/>
              <w:szCs w:val="2"/>
            </w:rPr>
          </w:pPr>
        </w:p>
        <w:p w14:paraId="5748B5EF" w14:textId="77777777" w:rsidR="00E73401" w:rsidRPr="00185046" w:rsidRDefault="00E73401" w:rsidP="007C63D9">
          <w:pPr>
            <w:spacing w:line="276" w:lineRule="auto"/>
            <w:jc w:val="both"/>
            <w:rPr>
              <w:rFonts w:ascii="Cambria" w:eastAsia="Cambria" w:hAnsi="Cambria" w:cs="Cambria"/>
              <w:sz w:val="2"/>
              <w:szCs w:val="2"/>
            </w:rPr>
          </w:pPr>
        </w:p>
      </w:tc>
      <w:tc>
        <w:tcPr>
          <w:tcW w:w="1639" w:type="dxa"/>
        </w:tcPr>
        <w:p w14:paraId="1B787C60" w14:textId="77777777" w:rsidR="00E73401" w:rsidRPr="00185046" w:rsidRDefault="00E73401" w:rsidP="007C63D9">
          <w:pPr>
            <w:spacing w:line="276" w:lineRule="auto"/>
            <w:jc w:val="both"/>
            <w:rPr>
              <w:rFonts w:ascii="Cambria" w:eastAsia="Cambria" w:hAnsi="Cambria" w:cs="Cambria"/>
              <w:sz w:val="2"/>
              <w:szCs w:val="2"/>
            </w:rPr>
          </w:pPr>
        </w:p>
      </w:tc>
      <w:tc>
        <w:tcPr>
          <w:tcW w:w="1810" w:type="dxa"/>
        </w:tcPr>
        <w:p w14:paraId="78482D96" w14:textId="77777777" w:rsidR="00E73401" w:rsidRPr="00185046" w:rsidRDefault="00E73401" w:rsidP="007C63D9">
          <w:pPr>
            <w:spacing w:line="276" w:lineRule="auto"/>
            <w:jc w:val="both"/>
            <w:rPr>
              <w:rFonts w:ascii="Cambria" w:eastAsia="Cambria" w:hAnsi="Cambria" w:cs="Cambria"/>
              <w:sz w:val="2"/>
              <w:szCs w:val="2"/>
            </w:rPr>
          </w:pPr>
        </w:p>
      </w:tc>
      <w:tc>
        <w:tcPr>
          <w:tcW w:w="1810" w:type="dxa"/>
        </w:tcPr>
        <w:p w14:paraId="0409D4F9" w14:textId="77777777" w:rsidR="00E73401" w:rsidRPr="00185046" w:rsidRDefault="00E73401" w:rsidP="007C63D9">
          <w:pPr>
            <w:spacing w:line="276" w:lineRule="auto"/>
            <w:jc w:val="both"/>
            <w:rPr>
              <w:rFonts w:ascii="Cambria" w:eastAsia="Cambria" w:hAnsi="Cambria" w:cs="Cambria"/>
              <w:sz w:val="2"/>
              <w:szCs w:val="2"/>
            </w:rPr>
          </w:pPr>
        </w:p>
      </w:tc>
      <w:tc>
        <w:tcPr>
          <w:tcW w:w="1810" w:type="dxa"/>
        </w:tcPr>
        <w:p w14:paraId="083C0324" w14:textId="77777777" w:rsidR="00E73401" w:rsidRPr="00185046" w:rsidRDefault="00E73401" w:rsidP="007C63D9">
          <w:pPr>
            <w:spacing w:line="276" w:lineRule="auto"/>
            <w:jc w:val="both"/>
            <w:rPr>
              <w:rFonts w:ascii="Cambria" w:eastAsia="Cambria" w:hAnsi="Cambria" w:cs="Cambria"/>
              <w:sz w:val="2"/>
              <w:szCs w:val="2"/>
            </w:rPr>
          </w:pPr>
        </w:p>
      </w:tc>
    </w:tr>
    <w:tr w:rsidR="00E73401" w:rsidRPr="00185046" w14:paraId="0E5D5372" w14:textId="77777777" w:rsidTr="00E73401">
      <w:trPr>
        <w:trHeight w:val="1134"/>
      </w:trPr>
      <w:tc>
        <w:tcPr>
          <w:tcW w:w="9054" w:type="dxa"/>
          <w:gridSpan w:val="5"/>
        </w:tcPr>
        <w:p w14:paraId="2388C187" w14:textId="00C9BB78" w:rsidR="00E73401" w:rsidRPr="00852684" w:rsidRDefault="00E73401" w:rsidP="00806C2B">
          <w:pPr>
            <w:spacing w:before="40"/>
            <w:ind w:left="-96" w:right="34"/>
            <w:jc w:val="both"/>
            <w:rPr>
              <w:rFonts w:ascii="Cambria" w:hAnsi="Cambria" w:cs="Open Sans"/>
              <w:b/>
              <w:bCs/>
              <w:color w:val="002060"/>
              <w:sz w:val="18"/>
              <w:szCs w:val="18"/>
              <w:shd w:val="clear" w:color="auto" w:fill="FFFFFF"/>
            </w:rPr>
          </w:pPr>
          <w:r w:rsidRPr="00852684">
            <w:rPr>
              <w:rFonts w:ascii="Cambria" w:hAnsi="Cambria"/>
              <w:b/>
              <w:bCs/>
              <w:color w:val="002060"/>
              <w:sz w:val="18"/>
              <w:szCs w:val="18"/>
            </w:rPr>
            <w:t>Copyright ©</w:t>
          </w:r>
          <w:r>
            <w:rPr>
              <w:rFonts w:ascii="Cambria" w:hAnsi="Cambria"/>
              <w:b/>
              <w:bCs/>
              <w:color w:val="002060"/>
              <w:sz w:val="18"/>
              <w:szCs w:val="18"/>
            </w:rPr>
            <w:t xml:space="preserve"> </w:t>
          </w:r>
          <w:r w:rsidRPr="00852684">
            <w:rPr>
              <w:rFonts w:ascii="Cambria" w:hAnsi="Cambria"/>
              <w:b/>
              <w:bCs/>
              <w:color w:val="002060"/>
              <w:sz w:val="18"/>
              <w:szCs w:val="18"/>
            </w:rPr>
            <w:t xml:space="preserve">2023, </w:t>
          </w:r>
          <w:r>
            <w:rPr>
              <w:rFonts w:ascii="Cambria" w:hAnsi="Cambria" w:cs="Open Sans"/>
              <w:b/>
              <w:bCs/>
              <w:color w:val="002060"/>
              <w:sz w:val="18"/>
              <w:szCs w:val="18"/>
              <w:shd w:val="clear" w:color="auto" w:fill="FFFFFF"/>
            </w:rPr>
            <w:t>The Author (s)</w:t>
          </w:r>
        </w:p>
        <w:p w14:paraId="50750E4B" w14:textId="77777777" w:rsidR="00E73401" w:rsidRPr="009E2CE1" w:rsidRDefault="00E73401" w:rsidP="007C63D9">
          <w:pPr>
            <w:spacing w:before="20"/>
            <w:ind w:left="-96" w:right="34"/>
            <w:jc w:val="both"/>
            <w:rPr>
              <w:rFonts w:ascii="Cambria" w:hAnsi="Cambria"/>
              <w:b/>
              <w:bCs/>
              <w:sz w:val="18"/>
              <w:szCs w:val="18"/>
            </w:rPr>
          </w:pPr>
          <w:r w:rsidRPr="009E2CE1">
            <w:rPr>
              <w:rFonts w:ascii="Cambria" w:hAnsi="Cambria"/>
              <w:sz w:val="18"/>
              <w:szCs w:val="18"/>
            </w:rPr>
            <w:t xml:space="preserve">This is an open access article under the </w:t>
          </w:r>
          <w:hyperlink r:id="rId1" w:history="1">
            <w:r w:rsidRPr="009E2CE1">
              <w:rPr>
                <w:rStyle w:val="Hyperlink"/>
                <w:rFonts w:ascii="Cambria" w:hAnsi="Cambria"/>
                <w:sz w:val="18"/>
                <w:szCs w:val="18"/>
              </w:rPr>
              <w:t>CC–BY-SA</w:t>
            </w:r>
          </w:hyperlink>
          <w:r w:rsidRPr="009E2CE1">
            <w:rPr>
              <w:rFonts w:ascii="Cambria" w:hAnsi="Cambria"/>
              <w:sz w:val="18"/>
              <w:szCs w:val="18"/>
            </w:rPr>
            <w:t xml:space="preserve"> license</w:t>
          </w:r>
        </w:p>
        <w:p w14:paraId="35B225B5" w14:textId="77777777" w:rsidR="00E73401" w:rsidRPr="00852684" w:rsidRDefault="00E73401" w:rsidP="007C63D9">
          <w:pPr>
            <w:spacing w:before="40"/>
            <w:ind w:left="-99" w:right="34"/>
            <w:jc w:val="both"/>
            <w:rPr>
              <w:rFonts w:ascii="Cambria" w:hAnsi="Cambria"/>
              <w:sz w:val="18"/>
              <w:szCs w:val="18"/>
            </w:rPr>
          </w:pPr>
          <w:r w:rsidRPr="009E2CE1">
            <w:rPr>
              <w:rFonts w:ascii="Verdana" w:hAnsi="Verdana"/>
              <w:noProof/>
              <w:color w:val="0000FF"/>
              <w:sz w:val="18"/>
              <w:szCs w:val="18"/>
              <w:lang w:val="en-US"/>
            </w:rPr>
            <w:drawing>
              <wp:inline distT="0" distB="0" distL="0" distR="0" wp14:anchorId="2D56E2DB" wp14:editId="7949A600">
                <wp:extent cx="722367" cy="252000"/>
                <wp:effectExtent l="0" t="0" r="1905" b="2540"/>
                <wp:docPr id="1" name="Picture 1" descr="Creative Commons Licenc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367" cy="252000"/>
                        </a:xfrm>
                        <a:prstGeom prst="rect">
                          <a:avLst/>
                        </a:prstGeom>
                        <a:noFill/>
                        <a:ln>
                          <a:noFill/>
                        </a:ln>
                      </pic:spPr>
                    </pic:pic>
                  </a:graphicData>
                </a:graphic>
              </wp:inline>
            </w:drawing>
          </w:r>
          <w:r>
            <w:rPr>
              <w:rFonts w:ascii="Cambria" w:hAnsi="Cambria"/>
              <w:sz w:val="18"/>
              <w:szCs w:val="18"/>
            </w:rPr>
            <w:t xml:space="preserve"> </w:t>
          </w:r>
        </w:p>
      </w:tc>
    </w:tr>
  </w:tbl>
  <w:p w14:paraId="7184BD1A" w14:textId="77777777" w:rsidR="00E73401" w:rsidRPr="00185046" w:rsidRDefault="00E73401" w:rsidP="009B51DE">
    <w:pPr>
      <w:pBdr>
        <w:top w:val="nil"/>
        <w:left w:val="nil"/>
        <w:bottom w:val="nil"/>
        <w:right w:val="nil"/>
        <w:between w:val="nil"/>
      </w:pBdr>
      <w:tabs>
        <w:tab w:val="center" w:pos="4680"/>
        <w:tab w:val="right" w:pos="9360"/>
      </w:tabs>
      <w:spacing w:line="276" w:lineRule="auto"/>
      <w:jc w:val="both"/>
      <w:rPr>
        <w:rFonts w:ascii="Cambria" w:eastAsia="Times New Roman" w:hAnsi="Cambria" w:cs="Times New Roman"/>
        <w:color w:val="000000"/>
        <w:sz w:val="20"/>
        <w:szCs w:val="20"/>
      </w:rPr>
    </w:pPr>
  </w:p>
  <w:p w14:paraId="441B89ED" w14:textId="01DB60F8" w:rsidR="00E73401" w:rsidRPr="009B51DE" w:rsidRDefault="00E73401" w:rsidP="009B5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0D45" w14:textId="77777777" w:rsidR="00004DD2" w:rsidRDefault="00004DD2" w:rsidP="0053479D">
      <w:r>
        <w:separator/>
      </w:r>
    </w:p>
    <w:p w14:paraId="392FD394" w14:textId="77777777" w:rsidR="00004DD2" w:rsidRDefault="00004DD2"/>
    <w:p w14:paraId="7AD4A17D" w14:textId="77777777" w:rsidR="00004DD2" w:rsidRDefault="00004DD2"/>
  </w:footnote>
  <w:footnote w:type="continuationSeparator" w:id="0">
    <w:p w14:paraId="363CB0C8" w14:textId="77777777" w:rsidR="00004DD2" w:rsidRDefault="00004DD2" w:rsidP="0053479D">
      <w:r>
        <w:continuationSeparator/>
      </w:r>
    </w:p>
    <w:p w14:paraId="5156C903" w14:textId="77777777" w:rsidR="00004DD2" w:rsidRDefault="00004DD2"/>
    <w:p w14:paraId="096A6890" w14:textId="77777777" w:rsidR="00004DD2" w:rsidRDefault="00004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785883"/>
      <w:docPartObj>
        <w:docPartGallery w:val="Page Numbers (Top of Page)"/>
        <w:docPartUnique/>
      </w:docPartObj>
    </w:sdtPr>
    <w:sdtContent>
      <w:p w14:paraId="31FDEF2F" w14:textId="096B782D" w:rsidR="00E73401" w:rsidRDefault="00E73401" w:rsidP="00E734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5833D27" w14:textId="77777777" w:rsidR="00E73401" w:rsidRPr="00AD1B6B" w:rsidRDefault="00E73401" w:rsidP="0034586A">
    <w:pPr>
      <w:pStyle w:val="Header"/>
      <w:ind w:right="360"/>
      <w:rPr>
        <w:b/>
        <w:bCs/>
        <w:sz w:val="20"/>
        <w:szCs w:val="20"/>
        <w:lang w:val="en-US"/>
      </w:rPr>
    </w:pPr>
    <w:r w:rsidRPr="00AD1B6B">
      <w:rPr>
        <w:rFonts w:hint="cs"/>
        <w:b/>
        <w:bCs/>
        <w:sz w:val="20"/>
        <w:szCs w:val="20"/>
        <w:lang w:val="en-US"/>
      </w:rPr>
      <w:t>Journal of English Language and Pedagogy</w:t>
    </w:r>
    <w:r w:rsidRPr="00AD1B6B">
      <w:rPr>
        <w:b/>
        <w:bCs/>
        <w:sz w:val="20"/>
        <w:szCs w:val="20"/>
        <w:lang w:val="en-US"/>
      </w:rPr>
      <w:t xml:space="preserve"> (</w:t>
    </w:r>
    <w:r w:rsidRPr="00AD1B6B">
      <w:rPr>
        <w:rFonts w:hint="cs"/>
        <w:b/>
        <w:bCs/>
        <w:sz w:val="20"/>
        <w:szCs w:val="20"/>
        <w:lang w:val="en-US"/>
      </w:rPr>
      <w:t>JELPA</w:t>
    </w:r>
    <w:r w:rsidRPr="00AD1B6B">
      <w:rPr>
        <w:b/>
        <w:bCs/>
        <w:sz w:val="20"/>
        <w:szCs w:val="20"/>
        <w:lang w:val="en-US"/>
      </w:rPr>
      <w:t xml:space="preserve">) </w:t>
    </w:r>
  </w:p>
  <w:p w14:paraId="66CDC3A1" w14:textId="77777777" w:rsidR="00E73401" w:rsidRDefault="00E73401" w:rsidP="0034586A">
    <w:pPr>
      <w:pStyle w:val="Header"/>
      <w:ind w:right="360"/>
      <w:rPr>
        <w:sz w:val="20"/>
        <w:szCs w:val="20"/>
        <w:lang w:val="en-US"/>
      </w:rPr>
    </w:pPr>
    <w:r w:rsidRPr="00D060A8">
      <w:rPr>
        <w:rFonts w:hint="cs"/>
        <w:sz w:val="20"/>
        <w:szCs w:val="20"/>
        <w:lang w:val="en-US"/>
      </w:rPr>
      <w:t>Vol. X, No.</w:t>
    </w:r>
    <w:r>
      <w:rPr>
        <w:sz w:val="20"/>
        <w:szCs w:val="20"/>
        <w:lang w:val="en-US"/>
      </w:rPr>
      <w:t xml:space="preserve"> </w:t>
    </w:r>
    <w:r w:rsidRPr="00D060A8">
      <w:rPr>
        <w:rFonts w:hint="cs"/>
        <w:sz w:val="20"/>
        <w:szCs w:val="20"/>
        <w:lang w:val="en-US"/>
      </w:rPr>
      <w:t xml:space="preserve">X, </w:t>
    </w:r>
    <w:r>
      <w:rPr>
        <w:sz w:val="20"/>
        <w:szCs w:val="20"/>
        <w:lang w:val="en-US"/>
      </w:rPr>
      <w:t>1-10</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E73401" w:rsidRPr="00325204" w14:paraId="12D2ED8F" w14:textId="77777777" w:rsidTr="00E73401">
      <w:tc>
        <w:tcPr>
          <w:tcW w:w="9622" w:type="dxa"/>
        </w:tcPr>
        <w:p w14:paraId="7ED6D5BF" w14:textId="77777777" w:rsidR="00E73401" w:rsidRPr="00325204" w:rsidRDefault="00E73401" w:rsidP="0034586A">
          <w:pPr>
            <w:pStyle w:val="Header"/>
            <w:ind w:right="360"/>
            <w:rPr>
              <w:sz w:val="6"/>
              <w:szCs w:val="6"/>
              <w:lang w:val="en-US"/>
            </w:rPr>
          </w:pPr>
        </w:p>
      </w:tc>
    </w:tr>
  </w:tbl>
  <w:p w14:paraId="54BACC86" w14:textId="77777777" w:rsidR="00E73401" w:rsidRDefault="00E73401">
    <w:pPr>
      <w:pStyle w:val="Header"/>
    </w:pPr>
  </w:p>
  <w:p w14:paraId="786BFBF4" w14:textId="77777777" w:rsidR="00E73401" w:rsidRDefault="00E73401"/>
  <w:p w14:paraId="200F9A69" w14:textId="77777777" w:rsidR="00E73401" w:rsidRDefault="00E734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mbria" w:hAnsi="Cambria"/>
        <w:sz w:val="20"/>
        <w:szCs w:val="20"/>
      </w:rPr>
      <w:id w:val="82347701"/>
      <w:docPartObj>
        <w:docPartGallery w:val="Page Numbers (Top of Page)"/>
        <w:docPartUnique/>
      </w:docPartObj>
    </w:sdtPr>
    <w:sdtContent>
      <w:p w14:paraId="7AEE1463" w14:textId="5BA22CFF" w:rsidR="00E73401" w:rsidRPr="0093169E" w:rsidRDefault="00E73401" w:rsidP="00E73401">
        <w:pPr>
          <w:pStyle w:val="Header"/>
          <w:framePr w:wrap="none" w:vAnchor="text" w:hAnchor="margin" w:xAlign="right" w:y="1"/>
          <w:rPr>
            <w:rStyle w:val="PageNumber"/>
            <w:rFonts w:ascii="Cambria" w:hAnsi="Cambria"/>
            <w:sz w:val="20"/>
            <w:szCs w:val="20"/>
          </w:rPr>
        </w:pPr>
        <w:r w:rsidRPr="0093169E">
          <w:rPr>
            <w:rStyle w:val="PageNumber"/>
            <w:rFonts w:ascii="Cambria" w:hAnsi="Cambria"/>
            <w:sz w:val="20"/>
            <w:szCs w:val="20"/>
          </w:rPr>
          <w:fldChar w:fldCharType="begin"/>
        </w:r>
        <w:r w:rsidRPr="0093169E">
          <w:rPr>
            <w:rStyle w:val="PageNumber"/>
            <w:rFonts w:ascii="Cambria" w:hAnsi="Cambria"/>
            <w:sz w:val="20"/>
            <w:szCs w:val="20"/>
          </w:rPr>
          <w:instrText xml:space="preserve"> PAGE </w:instrText>
        </w:r>
        <w:r w:rsidRPr="0093169E">
          <w:rPr>
            <w:rStyle w:val="PageNumber"/>
            <w:rFonts w:ascii="Cambria" w:hAnsi="Cambria"/>
            <w:sz w:val="20"/>
            <w:szCs w:val="20"/>
          </w:rPr>
          <w:fldChar w:fldCharType="separate"/>
        </w:r>
        <w:r w:rsidR="00F71126">
          <w:rPr>
            <w:rStyle w:val="PageNumber"/>
            <w:rFonts w:ascii="Cambria" w:hAnsi="Cambria"/>
            <w:noProof/>
            <w:sz w:val="20"/>
            <w:szCs w:val="20"/>
          </w:rPr>
          <w:t>12</w:t>
        </w:r>
        <w:r w:rsidRPr="0093169E">
          <w:rPr>
            <w:rStyle w:val="PageNumber"/>
            <w:rFonts w:ascii="Cambria" w:hAnsi="Cambria"/>
            <w:sz w:val="20"/>
            <w:szCs w:val="20"/>
          </w:rPr>
          <w:fldChar w:fldCharType="end"/>
        </w:r>
      </w:p>
    </w:sdtContent>
  </w:sdt>
  <w:p w14:paraId="4128FDCC" w14:textId="326F49FD" w:rsidR="00E73401" w:rsidRDefault="00E73401" w:rsidP="003273F3">
    <w:pPr>
      <w:pStyle w:val="Header"/>
      <w:spacing w:line="276" w:lineRule="auto"/>
      <w:ind w:right="360"/>
      <w:rPr>
        <w:rFonts w:ascii="Cambria" w:hAnsi="Cambria"/>
        <w:i/>
        <w:iCs/>
        <w:color w:val="000000" w:themeColor="text1"/>
        <w:sz w:val="18"/>
        <w:szCs w:val="18"/>
        <w:lang w:val="en-US"/>
      </w:rPr>
    </w:pPr>
    <w:r w:rsidRPr="000D503D">
      <w:rPr>
        <w:rFonts w:ascii="Cambria" w:hAnsi="Cambria"/>
        <w:b/>
        <w:bCs/>
        <w:color w:val="002060"/>
        <w:sz w:val="18"/>
        <w:szCs w:val="18"/>
        <w:lang w:val="en-US"/>
      </w:rPr>
      <w:t>Journal of English Language and Pedagogy (JELPA)</w:t>
    </w:r>
    <w:r>
      <w:rPr>
        <w:rFonts w:ascii="Cambria" w:hAnsi="Cambria"/>
        <w:color w:val="002060"/>
        <w:sz w:val="18"/>
        <w:szCs w:val="18"/>
        <w:lang w:val="en-US"/>
      </w:rPr>
      <w:t xml:space="preserve"> </w:t>
    </w:r>
    <w:r>
      <w:rPr>
        <w:rFonts w:ascii="Cambria" w:hAnsi="Cambria"/>
        <w:color w:val="002060"/>
        <w:sz w:val="18"/>
        <w:szCs w:val="18"/>
        <w:lang w:val="en-US"/>
      </w:rPr>
      <w:br/>
      <w:t>Vol. 2, No. 1, May 2024 |</w:t>
    </w:r>
    <w:r w:rsidR="00DF62CA">
      <w:rPr>
        <w:rFonts w:ascii="Cambria" w:hAnsi="Cambria"/>
        <w:color w:val="002060"/>
        <w:sz w:val="18"/>
        <w:szCs w:val="18"/>
        <w:lang w:val="en-US"/>
      </w:rPr>
      <w:t xml:space="preserve"> </w:t>
    </w:r>
    <w:proofErr w:type="spellStart"/>
    <w:r>
      <w:rPr>
        <w:rFonts w:ascii="Cambria" w:hAnsi="Cambria"/>
        <w:color w:val="002060"/>
        <w:sz w:val="18"/>
        <w:szCs w:val="18"/>
        <w:lang w:val="en-US"/>
      </w:rPr>
      <w:t>Ulfiah</w:t>
    </w:r>
    <w:proofErr w:type="spellEnd"/>
    <w:r>
      <w:rPr>
        <w:rFonts w:ascii="Cambria" w:hAnsi="Cambria"/>
        <w:color w:val="002060"/>
        <w:sz w:val="18"/>
        <w:szCs w:val="18"/>
        <w:lang w:val="en-US"/>
      </w:rPr>
      <w:t xml:space="preserve">, et.al. </w:t>
    </w:r>
    <w:r w:rsidRPr="000A5CD6">
      <w:rPr>
        <w:rFonts w:ascii="Cambria" w:hAnsi="Cambria"/>
        <w:i/>
        <w:iCs/>
        <w:color w:val="000000" w:themeColor="text1"/>
        <w:sz w:val="18"/>
        <w:szCs w:val="18"/>
      </w:rPr>
      <w:t>The Implementation of Rally</w:t>
    </w:r>
    <w:r>
      <w:rPr>
        <w:rFonts w:ascii="Cambria" w:hAnsi="Cambria"/>
        <w:i/>
        <w:iCs/>
        <w:color w:val="000000" w:themeColor="text1"/>
        <w:sz w:val="18"/>
        <w:szCs w:val="18"/>
        <w:lang w:val="en-US"/>
      </w:rPr>
      <w:t>……</w:t>
    </w:r>
  </w:p>
  <w:tbl>
    <w:tblPr>
      <w:tblStyle w:val="TableGrid"/>
      <w:tblW w:w="0" w:type="auto"/>
      <w:tblBorders>
        <w:top w:val="none" w:sz="0" w:space="0" w:color="auto"/>
        <w:left w:val="none" w:sz="0" w:space="0" w:color="auto"/>
        <w:bottom w:val="single" w:sz="4" w:space="0" w:color="C45911" w:themeColor="accent2" w:themeShade="BF"/>
        <w:right w:val="none" w:sz="0" w:space="0" w:color="auto"/>
        <w:insideH w:val="none" w:sz="0" w:space="0" w:color="auto"/>
        <w:insideV w:val="none" w:sz="0" w:space="0" w:color="auto"/>
      </w:tblBorders>
      <w:tblLook w:val="04A0" w:firstRow="1" w:lastRow="0" w:firstColumn="1" w:lastColumn="0" w:noHBand="0" w:noVBand="1"/>
    </w:tblPr>
    <w:tblGrid>
      <w:gridCol w:w="9064"/>
    </w:tblGrid>
    <w:tr w:rsidR="00E73401" w:rsidRPr="00325204" w14:paraId="7058C47A" w14:textId="77777777" w:rsidTr="000A5CD6">
      <w:tc>
        <w:tcPr>
          <w:tcW w:w="9064" w:type="dxa"/>
          <w:shd w:val="clear" w:color="auto" w:fill="auto"/>
        </w:tcPr>
        <w:p w14:paraId="23E3AC61" w14:textId="570AE459" w:rsidR="00E73401" w:rsidRPr="00E67695" w:rsidRDefault="00E73401" w:rsidP="0034586A">
          <w:pPr>
            <w:pStyle w:val="Header"/>
            <w:ind w:right="360"/>
            <w:rPr>
              <w:rFonts w:ascii="Cambria" w:hAnsi="Cambria"/>
              <w:sz w:val="6"/>
              <w:szCs w:val="6"/>
              <w:lang w:val="en-US"/>
            </w:rPr>
          </w:pPr>
        </w:p>
      </w:tc>
    </w:tr>
  </w:tbl>
  <w:p w14:paraId="2107FBE7" w14:textId="77777777" w:rsidR="00E73401" w:rsidRDefault="00E734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4"/>
      <w:gridCol w:w="5801"/>
      <w:gridCol w:w="1281"/>
    </w:tblGrid>
    <w:tr w:rsidR="00E73401" w:rsidRPr="00D060A8" w14:paraId="41742A6F" w14:textId="77777777" w:rsidTr="00E73401">
      <w:trPr>
        <w:trHeight w:val="1247"/>
      </w:trPr>
      <w:tc>
        <w:tcPr>
          <w:tcW w:w="2274" w:type="dxa"/>
        </w:tcPr>
        <w:p w14:paraId="78E943A9" w14:textId="77777777" w:rsidR="00E73401" w:rsidRPr="00D060A8" w:rsidRDefault="00E73401" w:rsidP="00A32419">
          <w:pPr>
            <w:pStyle w:val="Header"/>
            <w:ind w:left="-103"/>
            <w:rPr>
              <w:lang w:val="en-US"/>
            </w:rPr>
          </w:pPr>
          <w:r>
            <w:rPr>
              <w:rFonts w:hint="cs"/>
              <w:noProof/>
              <w:lang w:val="en-US"/>
            </w:rPr>
            <w:drawing>
              <wp:inline distT="0" distB="0" distL="0" distR="0" wp14:anchorId="0F925106" wp14:editId="7B3B078D">
                <wp:extent cx="1370439" cy="793115"/>
                <wp:effectExtent l="0" t="0" r="0" b="0"/>
                <wp:docPr id="979319784" name="Picture 97931978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0439" cy="793115"/>
                        </a:xfrm>
                        <a:prstGeom prst="rect">
                          <a:avLst/>
                        </a:prstGeom>
                      </pic:spPr>
                    </pic:pic>
                  </a:graphicData>
                </a:graphic>
              </wp:inline>
            </w:drawing>
          </w:r>
        </w:p>
      </w:tc>
      <w:tc>
        <w:tcPr>
          <w:tcW w:w="5801" w:type="dxa"/>
          <w:shd w:val="clear" w:color="auto" w:fill="D0CECE" w:themeFill="background2" w:themeFillShade="E6"/>
          <w:vAlign w:val="center"/>
        </w:tcPr>
        <w:p w14:paraId="50278809" w14:textId="77777777" w:rsidR="00E73401" w:rsidRPr="009759C7" w:rsidRDefault="00E73401" w:rsidP="00E517E4">
          <w:pPr>
            <w:pStyle w:val="Header"/>
            <w:spacing w:line="276" w:lineRule="auto"/>
            <w:ind w:right="26"/>
            <w:jc w:val="center"/>
            <w:rPr>
              <w:rFonts w:ascii="Cambria" w:hAnsi="Cambria"/>
              <w:b/>
              <w:bCs/>
              <w:sz w:val="24"/>
              <w:szCs w:val="24"/>
              <w:lang w:val="en-US"/>
            </w:rPr>
          </w:pPr>
          <w:r w:rsidRPr="009759C7">
            <w:rPr>
              <w:rFonts w:ascii="Cambria" w:hAnsi="Cambria"/>
              <w:b/>
              <w:bCs/>
              <w:sz w:val="24"/>
              <w:szCs w:val="24"/>
              <w:lang w:val="en-US"/>
            </w:rPr>
            <w:t>Journal of English Language and Pedagogy (JELPA)</w:t>
          </w:r>
        </w:p>
        <w:p w14:paraId="179AACDF" w14:textId="310C058F" w:rsidR="00E73401" w:rsidRPr="000E7702" w:rsidRDefault="00E73401" w:rsidP="00E517E4">
          <w:pPr>
            <w:pStyle w:val="Header"/>
            <w:shd w:val="clear" w:color="auto" w:fill="D0CECE" w:themeFill="background2" w:themeFillShade="E6"/>
            <w:spacing w:line="276" w:lineRule="auto"/>
            <w:ind w:right="26"/>
            <w:jc w:val="center"/>
            <w:rPr>
              <w:rFonts w:ascii="Cambria" w:hAnsi="Cambria"/>
              <w:sz w:val="18"/>
              <w:szCs w:val="18"/>
              <w:lang w:val="en-US"/>
            </w:rPr>
          </w:pPr>
          <w:r>
            <w:rPr>
              <w:rFonts w:ascii="Cambria" w:hAnsi="Cambria"/>
              <w:sz w:val="18"/>
              <w:szCs w:val="18"/>
              <w:lang w:val="en-US"/>
            </w:rPr>
            <w:t>Vol. 2</w:t>
          </w:r>
          <w:r w:rsidRPr="000E7702">
            <w:rPr>
              <w:rFonts w:ascii="Cambria" w:hAnsi="Cambria"/>
              <w:sz w:val="18"/>
              <w:szCs w:val="18"/>
              <w:lang w:val="en-US"/>
            </w:rPr>
            <w:t xml:space="preserve">, No. 1, </w:t>
          </w:r>
          <w:r>
            <w:rPr>
              <w:rFonts w:ascii="Cambria" w:hAnsi="Cambria"/>
              <w:sz w:val="18"/>
              <w:szCs w:val="18"/>
              <w:lang w:val="en-US"/>
            </w:rPr>
            <w:t>May 2024</w:t>
          </w:r>
          <w:r w:rsidRPr="000E7702">
            <w:rPr>
              <w:rFonts w:ascii="Cambria" w:hAnsi="Cambria"/>
              <w:sz w:val="18"/>
              <w:szCs w:val="18"/>
              <w:lang w:val="en-US"/>
            </w:rPr>
            <w:t xml:space="preserve">, Page </w:t>
          </w:r>
          <w:r>
            <w:rPr>
              <w:rFonts w:ascii="Cambria" w:hAnsi="Cambria"/>
              <w:sz w:val="18"/>
              <w:szCs w:val="18"/>
              <w:lang w:val="en-US"/>
            </w:rPr>
            <w:t>1</w:t>
          </w:r>
          <w:r w:rsidR="00A20B55">
            <w:rPr>
              <w:rFonts w:ascii="Cambria" w:hAnsi="Cambria"/>
              <w:sz w:val="18"/>
              <w:szCs w:val="18"/>
              <w:lang w:val="en-US"/>
            </w:rPr>
            <w:t>3</w:t>
          </w:r>
          <w:r w:rsidRPr="000E7702">
            <w:rPr>
              <w:rFonts w:ascii="Cambria" w:hAnsi="Cambria"/>
              <w:sz w:val="18"/>
              <w:szCs w:val="18"/>
              <w:lang w:val="en-US"/>
            </w:rPr>
            <w:t>-</w:t>
          </w:r>
          <w:r w:rsidR="00A20B55">
            <w:rPr>
              <w:rFonts w:ascii="Cambria" w:hAnsi="Cambria"/>
              <w:sz w:val="18"/>
              <w:szCs w:val="18"/>
              <w:lang w:val="en-US"/>
            </w:rPr>
            <w:t>2</w:t>
          </w:r>
          <w:r w:rsidR="00C03B0B">
            <w:rPr>
              <w:rFonts w:ascii="Cambria" w:hAnsi="Cambria"/>
              <w:sz w:val="18"/>
              <w:szCs w:val="18"/>
              <w:lang w:val="en-US"/>
            </w:rPr>
            <w:t>3</w:t>
          </w:r>
        </w:p>
        <w:p w14:paraId="4D7DBC6E" w14:textId="23E69432" w:rsidR="00E73401" w:rsidRPr="00706E87" w:rsidRDefault="00E73401" w:rsidP="00E517E4">
          <w:pPr>
            <w:pStyle w:val="Header"/>
            <w:ind w:right="26"/>
            <w:jc w:val="center"/>
            <w:rPr>
              <w:rFonts w:ascii="Cambria" w:hAnsi="Cambria"/>
              <w:sz w:val="18"/>
              <w:szCs w:val="18"/>
              <w:lang w:val="en-US"/>
            </w:rPr>
          </w:pPr>
          <w:r w:rsidRPr="000E7702">
            <w:rPr>
              <w:rFonts w:ascii="Cambria" w:hAnsi="Cambria"/>
              <w:sz w:val="18"/>
              <w:szCs w:val="18"/>
              <w:lang w:val="en-US"/>
            </w:rPr>
            <w:t xml:space="preserve">P-ISSN: </w:t>
          </w:r>
          <w:r w:rsidRPr="00F4370B">
            <w:rPr>
              <w:rFonts w:ascii="Cambria" w:hAnsi="Cambria"/>
              <w:sz w:val="18"/>
              <w:szCs w:val="18"/>
              <w:lang w:val="en-US"/>
            </w:rPr>
            <w:t>2988-2826</w:t>
          </w:r>
          <w:r>
            <w:rPr>
              <w:rFonts w:ascii="Cambria" w:hAnsi="Cambria"/>
              <w:sz w:val="18"/>
              <w:szCs w:val="18"/>
              <w:lang w:val="en-US"/>
            </w:rPr>
            <w:t xml:space="preserve"> |</w:t>
          </w:r>
          <w:r w:rsidRPr="000E7702">
            <w:rPr>
              <w:rFonts w:ascii="Cambria" w:hAnsi="Cambria"/>
              <w:sz w:val="18"/>
              <w:szCs w:val="18"/>
              <w:lang w:val="en-US"/>
            </w:rPr>
            <w:t xml:space="preserve"> E-ISSN: </w:t>
          </w:r>
          <w:r w:rsidRPr="00C15CD4">
            <w:rPr>
              <w:rFonts w:ascii="Cambria" w:hAnsi="Cambria"/>
              <w:sz w:val="18"/>
              <w:szCs w:val="18"/>
              <w:lang w:val="en-US"/>
            </w:rPr>
            <w:t>2987-8225</w:t>
          </w:r>
        </w:p>
      </w:tc>
      <w:tc>
        <w:tcPr>
          <w:tcW w:w="1281" w:type="dxa"/>
          <w:shd w:val="clear" w:color="auto" w:fill="auto"/>
        </w:tcPr>
        <w:p w14:paraId="6BB2B26F" w14:textId="66F0D02C" w:rsidR="00E73401" w:rsidRPr="00CF27D6" w:rsidRDefault="00E73401" w:rsidP="00A32419">
          <w:pPr>
            <w:pStyle w:val="Header"/>
            <w:ind w:right="-132"/>
            <w:rPr>
              <w:rFonts w:ascii="Cambria" w:hAnsi="Cambria"/>
              <w:b/>
              <w:bCs/>
              <w:sz w:val="2"/>
              <w:szCs w:val="2"/>
              <w:lang w:val="en-US"/>
            </w:rPr>
          </w:pPr>
          <w:r>
            <w:rPr>
              <w:noProof/>
              <w:lang w:val="en-US"/>
            </w:rPr>
            <w:drawing>
              <wp:inline distT="0" distB="0" distL="0" distR="0" wp14:anchorId="3F6F032C" wp14:editId="20D98B00">
                <wp:extent cx="568765" cy="792000"/>
                <wp:effectExtent l="0" t="0" r="3175" b="0"/>
                <wp:docPr id="1979639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39813" name="Picture 1979639813"/>
                        <pic:cNvPicPr/>
                      </pic:nvPicPr>
                      <pic:blipFill rotWithShape="1">
                        <a:blip r:embed="rId2">
                          <a:extLst>
                            <a:ext uri="{28A0092B-C50C-407E-A947-70E740481C1C}">
                              <a14:useLocalDpi xmlns:a14="http://schemas.microsoft.com/office/drawing/2010/main" val="0"/>
                            </a:ext>
                          </a:extLst>
                        </a:blip>
                        <a:srcRect b="1789"/>
                        <a:stretch/>
                      </pic:blipFill>
                      <pic:spPr bwMode="auto">
                        <a:xfrm>
                          <a:off x="0" y="0"/>
                          <a:ext cx="568765" cy="792000"/>
                        </a:xfrm>
                        <a:prstGeom prst="rect">
                          <a:avLst/>
                        </a:prstGeom>
                        <a:ln>
                          <a:noFill/>
                        </a:ln>
                        <a:extLst>
                          <a:ext uri="{53640926-AAD7-44D8-BBD7-CCE9431645EC}">
                            <a14:shadowObscured xmlns:a14="http://schemas.microsoft.com/office/drawing/2010/main"/>
                          </a:ext>
                        </a:extLst>
                      </pic:spPr>
                    </pic:pic>
                  </a:graphicData>
                </a:graphic>
              </wp:inline>
            </w:drawing>
          </w:r>
        </w:p>
      </w:tc>
    </w:tr>
    <w:tr w:rsidR="00E73401" w:rsidRPr="00D060A8" w14:paraId="03DEA5FB" w14:textId="77777777" w:rsidTr="00E73401">
      <w:trPr>
        <w:trHeight w:val="20"/>
      </w:trPr>
      <w:tc>
        <w:tcPr>
          <w:tcW w:w="8075" w:type="dxa"/>
          <w:gridSpan w:val="2"/>
        </w:tcPr>
        <w:p w14:paraId="208CC38F" w14:textId="77777777" w:rsidR="00E73401" w:rsidRPr="00747098" w:rsidRDefault="00E73401" w:rsidP="00A32419">
          <w:pPr>
            <w:pStyle w:val="Header"/>
            <w:ind w:right="-132"/>
            <w:jc w:val="center"/>
            <w:rPr>
              <w:rFonts w:ascii="Cambria" w:hAnsi="Cambria"/>
              <w:b/>
              <w:bCs/>
              <w:sz w:val="4"/>
              <w:szCs w:val="4"/>
              <w:lang w:val="en-US"/>
            </w:rPr>
          </w:pPr>
        </w:p>
      </w:tc>
      <w:tc>
        <w:tcPr>
          <w:tcW w:w="1281" w:type="dxa"/>
          <w:shd w:val="clear" w:color="auto" w:fill="auto"/>
        </w:tcPr>
        <w:p w14:paraId="5337199E" w14:textId="77777777" w:rsidR="00E73401" w:rsidRPr="00747098" w:rsidRDefault="00E73401" w:rsidP="00A32419">
          <w:pPr>
            <w:pStyle w:val="Header"/>
            <w:ind w:right="-132"/>
            <w:jc w:val="center"/>
            <w:rPr>
              <w:rFonts w:ascii="Cambria" w:hAnsi="Cambria"/>
              <w:b/>
              <w:bCs/>
              <w:sz w:val="4"/>
              <w:szCs w:val="4"/>
              <w:lang w:val="en-US"/>
            </w:rPr>
          </w:pPr>
        </w:p>
      </w:tc>
    </w:tr>
  </w:tbl>
  <w:p w14:paraId="1890BE22" w14:textId="77777777" w:rsidR="00E73401" w:rsidRDefault="00E73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6AE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DEB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5434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40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E82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FC2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822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86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701A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5A62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7258F"/>
    <w:multiLevelType w:val="hybridMultilevel"/>
    <w:tmpl w:val="0FEC309C"/>
    <w:lvl w:ilvl="0" w:tplc="3BC2E95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B56AAF"/>
    <w:multiLevelType w:val="hybridMultilevel"/>
    <w:tmpl w:val="B114C692"/>
    <w:lvl w:ilvl="0" w:tplc="50A08B12">
      <w:start w:val="1"/>
      <w:numFmt w:val="lowerLetter"/>
      <w:pStyle w:val="8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A44E9"/>
    <w:multiLevelType w:val="hybridMultilevel"/>
    <w:tmpl w:val="36720C3C"/>
    <w:lvl w:ilvl="0" w:tplc="B25017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C1C84"/>
    <w:multiLevelType w:val="hybridMultilevel"/>
    <w:tmpl w:val="C1BA7C2A"/>
    <w:lvl w:ilvl="0" w:tplc="EFF079AC">
      <w:start w:val="1"/>
      <w:numFmt w:val="decimal"/>
      <w:pStyle w:val="7SUBBAB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C443D"/>
    <w:multiLevelType w:val="hybridMultilevel"/>
    <w:tmpl w:val="A6382946"/>
    <w:lvl w:ilvl="0" w:tplc="C5D27B9A">
      <w:start w:val="1"/>
      <w:numFmt w:val="decimal"/>
      <w:pStyle w:val="9SUBBAB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222AB"/>
    <w:multiLevelType w:val="multilevel"/>
    <w:tmpl w:val="D8DAD64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59182B"/>
    <w:multiLevelType w:val="hybridMultilevel"/>
    <w:tmpl w:val="CF0CB2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2E14570"/>
    <w:multiLevelType w:val="multilevel"/>
    <w:tmpl w:val="5AD07714"/>
    <w:styleLink w:val="CurrentList1"/>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7A0D9B"/>
    <w:multiLevelType w:val="multilevel"/>
    <w:tmpl w:val="476ECC8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313517">
    <w:abstractNumId w:val="12"/>
  </w:num>
  <w:num w:numId="2" w16cid:durableId="55595063">
    <w:abstractNumId w:val="16"/>
  </w:num>
  <w:num w:numId="3" w16cid:durableId="1413432495">
    <w:abstractNumId w:val="10"/>
  </w:num>
  <w:num w:numId="4" w16cid:durableId="1297100798">
    <w:abstractNumId w:val="17"/>
  </w:num>
  <w:num w:numId="5" w16cid:durableId="334769596">
    <w:abstractNumId w:val="13"/>
  </w:num>
  <w:num w:numId="6" w16cid:durableId="838736931">
    <w:abstractNumId w:val="18"/>
  </w:num>
  <w:num w:numId="7" w16cid:durableId="1195147054">
    <w:abstractNumId w:val="11"/>
  </w:num>
  <w:num w:numId="8" w16cid:durableId="1415277072">
    <w:abstractNumId w:val="14"/>
  </w:num>
  <w:num w:numId="9" w16cid:durableId="1938558175">
    <w:abstractNumId w:val="15"/>
  </w:num>
  <w:num w:numId="10" w16cid:durableId="273440630">
    <w:abstractNumId w:val="0"/>
  </w:num>
  <w:num w:numId="11" w16cid:durableId="996417464">
    <w:abstractNumId w:val="1"/>
  </w:num>
  <w:num w:numId="12" w16cid:durableId="644117772">
    <w:abstractNumId w:val="2"/>
  </w:num>
  <w:num w:numId="13" w16cid:durableId="1669748229">
    <w:abstractNumId w:val="3"/>
  </w:num>
  <w:num w:numId="14" w16cid:durableId="352151173">
    <w:abstractNumId w:val="8"/>
  </w:num>
  <w:num w:numId="15" w16cid:durableId="408163970">
    <w:abstractNumId w:val="4"/>
  </w:num>
  <w:num w:numId="16" w16cid:durableId="661082542">
    <w:abstractNumId w:val="5"/>
  </w:num>
  <w:num w:numId="17" w16cid:durableId="93716555">
    <w:abstractNumId w:val="6"/>
  </w:num>
  <w:num w:numId="18" w16cid:durableId="1761488440">
    <w:abstractNumId w:val="7"/>
  </w:num>
  <w:num w:numId="19" w16cid:durableId="304087883">
    <w:abstractNumId w:val="9"/>
  </w:num>
  <w:num w:numId="20" w16cid:durableId="2107574504">
    <w:abstractNumId w:val="0"/>
  </w:num>
  <w:num w:numId="21" w16cid:durableId="663096189">
    <w:abstractNumId w:val="1"/>
  </w:num>
  <w:num w:numId="22" w16cid:durableId="1560554161">
    <w:abstractNumId w:val="2"/>
  </w:num>
  <w:num w:numId="23" w16cid:durableId="1733039307">
    <w:abstractNumId w:val="3"/>
  </w:num>
  <w:num w:numId="24" w16cid:durableId="145516878">
    <w:abstractNumId w:val="8"/>
  </w:num>
  <w:num w:numId="25" w16cid:durableId="1840927488">
    <w:abstractNumId w:val="4"/>
  </w:num>
  <w:num w:numId="26" w16cid:durableId="99298868">
    <w:abstractNumId w:val="5"/>
  </w:num>
  <w:num w:numId="27" w16cid:durableId="1979727263">
    <w:abstractNumId w:val="6"/>
  </w:num>
  <w:num w:numId="28" w16cid:durableId="1882668440">
    <w:abstractNumId w:val="7"/>
  </w:num>
  <w:num w:numId="29" w16cid:durableId="232119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zNrIwMDKwMDUyNzZS0lEKTi0uzszPAykwrAUA8rw2aCwAAAA="/>
  </w:docVars>
  <w:rsids>
    <w:rsidRoot w:val="0053479D"/>
    <w:rsid w:val="00004DD2"/>
    <w:rsid w:val="00016F1C"/>
    <w:rsid w:val="0003360A"/>
    <w:rsid w:val="00037471"/>
    <w:rsid w:val="00056BA9"/>
    <w:rsid w:val="00062928"/>
    <w:rsid w:val="00077D9C"/>
    <w:rsid w:val="00080B10"/>
    <w:rsid w:val="00082557"/>
    <w:rsid w:val="000832FA"/>
    <w:rsid w:val="000838E1"/>
    <w:rsid w:val="000975CD"/>
    <w:rsid w:val="000A1C3D"/>
    <w:rsid w:val="000A5CD6"/>
    <w:rsid w:val="000A66A0"/>
    <w:rsid w:val="000B2A66"/>
    <w:rsid w:val="000D503D"/>
    <w:rsid w:val="000E5FFA"/>
    <w:rsid w:val="000F2CBC"/>
    <w:rsid w:val="000F6FED"/>
    <w:rsid w:val="00103880"/>
    <w:rsid w:val="00111DAE"/>
    <w:rsid w:val="001128D7"/>
    <w:rsid w:val="00117F9C"/>
    <w:rsid w:val="00123191"/>
    <w:rsid w:val="0013066F"/>
    <w:rsid w:val="0015043C"/>
    <w:rsid w:val="00150930"/>
    <w:rsid w:val="00150FCB"/>
    <w:rsid w:val="00163464"/>
    <w:rsid w:val="00167A09"/>
    <w:rsid w:val="001741C2"/>
    <w:rsid w:val="00186EC3"/>
    <w:rsid w:val="00187667"/>
    <w:rsid w:val="00191BB5"/>
    <w:rsid w:val="00191F29"/>
    <w:rsid w:val="00194D92"/>
    <w:rsid w:val="001C278A"/>
    <w:rsid w:val="001D2B22"/>
    <w:rsid w:val="001D4036"/>
    <w:rsid w:val="00206179"/>
    <w:rsid w:val="002138A1"/>
    <w:rsid w:val="002146C7"/>
    <w:rsid w:val="002149F4"/>
    <w:rsid w:val="0021520A"/>
    <w:rsid w:val="00221ABC"/>
    <w:rsid w:val="00232285"/>
    <w:rsid w:val="0023680D"/>
    <w:rsid w:val="00250617"/>
    <w:rsid w:val="00251BB0"/>
    <w:rsid w:val="00257040"/>
    <w:rsid w:val="0026314E"/>
    <w:rsid w:val="00271713"/>
    <w:rsid w:val="002740BB"/>
    <w:rsid w:val="002A5E01"/>
    <w:rsid w:val="002B480A"/>
    <w:rsid w:val="002C6334"/>
    <w:rsid w:val="002E1843"/>
    <w:rsid w:val="002F063A"/>
    <w:rsid w:val="002F11DE"/>
    <w:rsid w:val="00302915"/>
    <w:rsid w:val="00305B87"/>
    <w:rsid w:val="00307F3B"/>
    <w:rsid w:val="003273F3"/>
    <w:rsid w:val="00330F41"/>
    <w:rsid w:val="00335DEA"/>
    <w:rsid w:val="0034586A"/>
    <w:rsid w:val="00345B02"/>
    <w:rsid w:val="003555C8"/>
    <w:rsid w:val="00356419"/>
    <w:rsid w:val="00363443"/>
    <w:rsid w:val="00381461"/>
    <w:rsid w:val="00385CF1"/>
    <w:rsid w:val="003A1275"/>
    <w:rsid w:val="003A3767"/>
    <w:rsid w:val="003A7CE9"/>
    <w:rsid w:val="003D34F3"/>
    <w:rsid w:val="003D49BC"/>
    <w:rsid w:val="003E4B51"/>
    <w:rsid w:val="003E6DD5"/>
    <w:rsid w:val="003F2C9B"/>
    <w:rsid w:val="003F6887"/>
    <w:rsid w:val="00413CC7"/>
    <w:rsid w:val="004321C8"/>
    <w:rsid w:val="0043406D"/>
    <w:rsid w:val="00437B4E"/>
    <w:rsid w:val="0046338C"/>
    <w:rsid w:val="00474DE3"/>
    <w:rsid w:val="00480BB8"/>
    <w:rsid w:val="00484755"/>
    <w:rsid w:val="0048505E"/>
    <w:rsid w:val="004862EF"/>
    <w:rsid w:val="004A45E5"/>
    <w:rsid w:val="004A6EA7"/>
    <w:rsid w:val="004B6E0F"/>
    <w:rsid w:val="004D7484"/>
    <w:rsid w:val="004E0443"/>
    <w:rsid w:val="004F381C"/>
    <w:rsid w:val="00500709"/>
    <w:rsid w:val="0050627E"/>
    <w:rsid w:val="00524FF8"/>
    <w:rsid w:val="0053479D"/>
    <w:rsid w:val="00535ABF"/>
    <w:rsid w:val="00541255"/>
    <w:rsid w:val="00570055"/>
    <w:rsid w:val="005800EC"/>
    <w:rsid w:val="00582191"/>
    <w:rsid w:val="00586155"/>
    <w:rsid w:val="00596C0F"/>
    <w:rsid w:val="005A6356"/>
    <w:rsid w:val="005B5442"/>
    <w:rsid w:val="005B54F5"/>
    <w:rsid w:val="005B64BB"/>
    <w:rsid w:val="005C7B28"/>
    <w:rsid w:val="005C7BC8"/>
    <w:rsid w:val="005D0EC6"/>
    <w:rsid w:val="005D317D"/>
    <w:rsid w:val="005D5F8B"/>
    <w:rsid w:val="005E2F7D"/>
    <w:rsid w:val="005E7B89"/>
    <w:rsid w:val="00601980"/>
    <w:rsid w:val="006133BB"/>
    <w:rsid w:val="0061432C"/>
    <w:rsid w:val="00622A36"/>
    <w:rsid w:val="006353CF"/>
    <w:rsid w:val="006374D7"/>
    <w:rsid w:val="00643B3A"/>
    <w:rsid w:val="00675AC7"/>
    <w:rsid w:val="00682B64"/>
    <w:rsid w:val="00686F0E"/>
    <w:rsid w:val="006B34F0"/>
    <w:rsid w:val="006B5449"/>
    <w:rsid w:val="006B6438"/>
    <w:rsid w:val="006B6FBE"/>
    <w:rsid w:val="006C51D7"/>
    <w:rsid w:val="006E047E"/>
    <w:rsid w:val="006E40D6"/>
    <w:rsid w:val="007071D1"/>
    <w:rsid w:val="007216BA"/>
    <w:rsid w:val="00732832"/>
    <w:rsid w:val="00736246"/>
    <w:rsid w:val="00763D21"/>
    <w:rsid w:val="0077016A"/>
    <w:rsid w:val="00775620"/>
    <w:rsid w:val="00780ED5"/>
    <w:rsid w:val="0078251F"/>
    <w:rsid w:val="007835F3"/>
    <w:rsid w:val="00785CFD"/>
    <w:rsid w:val="0078665E"/>
    <w:rsid w:val="007878B9"/>
    <w:rsid w:val="00794ED3"/>
    <w:rsid w:val="007B074B"/>
    <w:rsid w:val="007C63D9"/>
    <w:rsid w:val="007F2CB4"/>
    <w:rsid w:val="007F2D17"/>
    <w:rsid w:val="007F2D42"/>
    <w:rsid w:val="007F5D34"/>
    <w:rsid w:val="008014B7"/>
    <w:rsid w:val="00803957"/>
    <w:rsid w:val="00806C2B"/>
    <w:rsid w:val="00807ABD"/>
    <w:rsid w:val="00812A72"/>
    <w:rsid w:val="00835428"/>
    <w:rsid w:val="008407EB"/>
    <w:rsid w:val="00841A64"/>
    <w:rsid w:val="00843549"/>
    <w:rsid w:val="00856250"/>
    <w:rsid w:val="008744F1"/>
    <w:rsid w:val="00883AE9"/>
    <w:rsid w:val="00883BB2"/>
    <w:rsid w:val="00884B41"/>
    <w:rsid w:val="00884C30"/>
    <w:rsid w:val="00892E7F"/>
    <w:rsid w:val="00894711"/>
    <w:rsid w:val="008A4636"/>
    <w:rsid w:val="008B0905"/>
    <w:rsid w:val="008B0DA6"/>
    <w:rsid w:val="008D36ED"/>
    <w:rsid w:val="008E06CA"/>
    <w:rsid w:val="008E085B"/>
    <w:rsid w:val="008E4661"/>
    <w:rsid w:val="008F4D27"/>
    <w:rsid w:val="00912873"/>
    <w:rsid w:val="00914EC9"/>
    <w:rsid w:val="00923D16"/>
    <w:rsid w:val="00930873"/>
    <w:rsid w:val="0093169E"/>
    <w:rsid w:val="00940372"/>
    <w:rsid w:val="009464CF"/>
    <w:rsid w:val="009703F4"/>
    <w:rsid w:val="00971290"/>
    <w:rsid w:val="009957F1"/>
    <w:rsid w:val="009975ED"/>
    <w:rsid w:val="009B0E37"/>
    <w:rsid w:val="009B31ED"/>
    <w:rsid w:val="009B51DE"/>
    <w:rsid w:val="009C68C9"/>
    <w:rsid w:val="009D30B9"/>
    <w:rsid w:val="009E3FAF"/>
    <w:rsid w:val="009F0DC6"/>
    <w:rsid w:val="009F15A4"/>
    <w:rsid w:val="009F47E5"/>
    <w:rsid w:val="00A01EF9"/>
    <w:rsid w:val="00A03A68"/>
    <w:rsid w:val="00A06D87"/>
    <w:rsid w:val="00A07E78"/>
    <w:rsid w:val="00A1039E"/>
    <w:rsid w:val="00A119DE"/>
    <w:rsid w:val="00A12EE7"/>
    <w:rsid w:val="00A17F4C"/>
    <w:rsid w:val="00A20B55"/>
    <w:rsid w:val="00A22FC2"/>
    <w:rsid w:val="00A32419"/>
    <w:rsid w:val="00A42D4C"/>
    <w:rsid w:val="00A43A30"/>
    <w:rsid w:val="00A53DE3"/>
    <w:rsid w:val="00A57A58"/>
    <w:rsid w:val="00A628C3"/>
    <w:rsid w:val="00A642DB"/>
    <w:rsid w:val="00A761F3"/>
    <w:rsid w:val="00A776D0"/>
    <w:rsid w:val="00AC3AE4"/>
    <w:rsid w:val="00AF6C7B"/>
    <w:rsid w:val="00AF7623"/>
    <w:rsid w:val="00B030CD"/>
    <w:rsid w:val="00B03C43"/>
    <w:rsid w:val="00B0440B"/>
    <w:rsid w:val="00B04A11"/>
    <w:rsid w:val="00B133CC"/>
    <w:rsid w:val="00B15172"/>
    <w:rsid w:val="00B21009"/>
    <w:rsid w:val="00B52F7D"/>
    <w:rsid w:val="00B53A9C"/>
    <w:rsid w:val="00B66FF5"/>
    <w:rsid w:val="00B75C50"/>
    <w:rsid w:val="00B83D88"/>
    <w:rsid w:val="00B8521E"/>
    <w:rsid w:val="00B85AD7"/>
    <w:rsid w:val="00B8675A"/>
    <w:rsid w:val="00B86946"/>
    <w:rsid w:val="00B96E4C"/>
    <w:rsid w:val="00B977C6"/>
    <w:rsid w:val="00BA5FA9"/>
    <w:rsid w:val="00BB055A"/>
    <w:rsid w:val="00BC7781"/>
    <w:rsid w:val="00BD1CF9"/>
    <w:rsid w:val="00BD2684"/>
    <w:rsid w:val="00BD40CE"/>
    <w:rsid w:val="00BE3CB8"/>
    <w:rsid w:val="00BE785D"/>
    <w:rsid w:val="00C0182D"/>
    <w:rsid w:val="00C03B0B"/>
    <w:rsid w:val="00C04E9A"/>
    <w:rsid w:val="00C06AA4"/>
    <w:rsid w:val="00C15F6A"/>
    <w:rsid w:val="00C16072"/>
    <w:rsid w:val="00C6488D"/>
    <w:rsid w:val="00C70C58"/>
    <w:rsid w:val="00C7197D"/>
    <w:rsid w:val="00C8176C"/>
    <w:rsid w:val="00C8519E"/>
    <w:rsid w:val="00C97FB7"/>
    <w:rsid w:val="00CA676E"/>
    <w:rsid w:val="00CB0319"/>
    <w:rsid w:val="00CC30E9"/>
    <w:rsid w:val="00CC4C44"/>
    <w:rsid w:val="00CC5368"/>
    <w:rsid w:val="00CC6DAA"/>
    <w:rsid w:val="00CC6E69"/>
    <w:rsid w:val="00CE4DF4"/>
    <w:rsid w:val="00CE68C6"/>
    <w:rsid w:val="00CF27D6"/>
    <w:rsid w:val="00D035FE"/>
    <w:rsid w:val="00D33A90"/>
    <w:rsid w:val="00D379CB"/>
    <w:rsid w:val="00D51098"/>
    <w:rsid w:val="00D604FB"/>
    <w:rsid w:val="00D60EDB"/>
    <w:rsid w:val="00DA7073"/>
    <w:rsid w:val="00DB420C"/>
    <w:rsid w:val="00DD1E49"/>
    <w:rsid w:val="00DD2542"/>
    <w:rsid w:val="00DD6D1D"/>
    <w:rsid w:val="00DE5A0F"/>
    <w:rsid w:val="00DE6562"/>
    <w:rsid w:val="00DF1B6F"/>
    <w:rsid w:val="00DF62CA"/>
    <w:rsid w:val="00DF732B"/>
    <w:rsid w:val="00E00081"/>
    <w:rsid w:val="00E025FF"/>
    <w:rsid w:val="00E218A3"/>
    <w:rsid w:val="00E23626"/>
    <w:rsid w:val="00E23E37"/>
    <w:rsid w:val="00E3026D"/>
    <w:rsid w:val="00E40AB0"/>
    <w:rsid w:val="00E517E4"/>
    <w:rsid w:val="00E52F93"/>
    <w:rsid w:val="00E541F1"/>
    <w:rsid w:val="00E54C47"/>
    <w:rsid w:val="00E62B99"/>
    <w:rsid w:val="00E62D8F"/>
    <w:rsid w:val="00E63B5E"/>
    <w:rsid w:val="00E67695"/>
    <w:rsid w:val="00E70A8D"/>
    <w:rsid w:val="00E73252"/>
    <w:rsid w:val="00E73401"/>
    <w:rsid w:val="00E75A91"/>
    <w:rsid w:val="00EB5397"/>
    <w:rsid w:val="00EC7112"/>
    <w:rsid w:val="00ED1EA7"/>
    <w:rsid w:val="00ED794C"/>
    <w:rsid w:val="00EE2441"/>
    <w:rsid w:val="00EE7829"/>
    <w:rsid w:val="00F13860"/>
    <w:rsid w:val="00F21AFF"/>
    <w:rsid w:val="00F237C6"/>
    <w:rsid w:val="00F34034"/>
    <w:rsid w:val="00F47FBA"/>
    <w:rsid w:val="00F510FE"/>
    <w:rsid w:val="00F543C2"/>
    <w:rsid w:val="00F71126"/>
    <w:rsid w:val="00F804C3"/>
    <w:rsid w:val="00F93801"/>
    <w:rsid w:val="00F96F6B"/>
    <w:rsid w:val="00FA12D9"/>
    <w:rsid w:val="00FA689B"/>
    <w:rsid w:val="00FC69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46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79D"/>
    <w:rPr>
      <w:rFonts w:ascii="Arial Hebrew" w:hAnsi="Arial Hebrew" w:cs="Arial Hebrew"/>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3479D"/>
    <w:pPr>
      <w:ind w:left="720"/>
      <w:contextualSpacing/>
    </w:pPr>
  </w:style>
  <w:style w:type="character" w:styleId="Hyperlink">
    <w:name w:val="Hyperlink"/>
    <w:basedOn w:val="DefaultParagraphFont"/>
    <w:uiPriority w:val="99"/>
    <w:unhideWhenUsed/>
    <w:rsid w:val="0053479D"/>
    <w:rPr>
      <w:color w:val="0563C1" w:themeColor="hyperlink"/>
      <w:u w:val="single"/>
    </w:rPr>
  </w:style>
  <w:style w:type="character" w:customStyle="1" w:styleId="UnresolvedMention1">
    <w:name w:val="Unresolved Mention1"/>
    <w:basedOn w:val="DefaultParagraphFont"/>
    <w:uiPriority w:val="99"/>
    <w:semiHidden/>
    <w:unhideWhenUsed/>
    <w:rsid w:val="0053479D"/>
    <w:rPr>
      <w:color w:val="605E5C"/>
      <w:shd w:val="clear" w:color="auto" w:fill="E1DFDD"/>
    </w:rPr>
  </w:style>
  <w:style w:type="paragraph" w:styleId="Header">
    <w:name w:val="header"/>
    <w:basedOn w:val="Normal"/>
    <w:link w:val="HeaderChar"/>
    <w:uiPriority w:val="99"/>
    <w:unhideWhenUsed/>
    <w:rsid w:val="0053479D"/>
    <w:pPr>
      <w:tabs>
        <w:tab w:val="center" w:pos="4680"/>
        <w:tab w:val="right" w:pos="9360"/>
      </w:tabs>
    </w:pPr>
  </w:style>
  <w:style w:type="character" w:customStyle="1" w:styleId="HeaderChar">
    <w:name w:val="Header Char"/>
    <w:basedOn w:val="DefaultParagraphFont"/>
    <w:link w:val="Header"/>
    <w:uiPriority w:val="99"/>
    <w:rsid w:val="0053479D"/>
  </w:style>
  <w:style w:type="paragraph" w:styleId="Footer">
    <w:name w:val="footer"/>
    <w:basedOn w:val="Normal"/>
    <w:link w:val="FooterChar"/>
    <w:uiPriority w:val="99"/>
    <w:unhideWhenUsed/>
    <w:rsid w:val="0053479D"/>
    <w:pPr>
      <w:tabs>
        <w:tab w:val="center" w:pos="4680"/>
        <w:tab w:val="right" w:pos="9360"/>
      </w:tabs>
    </w:pPr>
  </w:style>
  <w:style w:type="character" w:customStyle="1" w:styleId="FooterChar">
    <w:name w:val="Footer Char"/>
    <w:basedOn w:val="DefaultParagraphFont"/>
    <w:link w:val="Footer"/>
    <w:uiPriority w:val="99"/>
    <w:rsid w:val="0053479D"/>
  </w:style>
  <w:style w:type="character" w:styleId="PageNumber">
    <w:name w:val="page number"/>
    <w:basedOn w:val="DefaultParagraphFont"/>
    <w:uiPriority w:val="99"/>
    <w:semiHidden/>
    <w:unhideWhenUsed/>
    <w:rsid w:val="0053479D"/>
  </w:style>
  <w:style w:type="paragraph" w:styleId="NormalWeb">
    <w:name w:val="Normal (Web)"/>
    <w:basedOn w:val="Normal"/>
    <w:uiPriority w:val="99"/>
    <w:unhideWhenUsed/>
    <w:rsid w:val="0053479D"/>
    <w:pPr>
      <w:spacing w:before="100" w:beforeAutospacing="1" w:after="100" w:afterAutospacing="1"/>
    </w:pPr>
    <w:rPr>
      <w:rFonts w:ascii="Times New Roman" w:eastAsia="Times New Roman" w:hAnsi="Times New Roman" w:cs="Times New Roman"/>
      <w:color w:val="000000" w:themeColor="text1"/>
      <w:sz w:val="22"/>
      <w:szCs w:val="22"/>
    </w:rPr>
  </w:style>
  <w:style w:type="character" w:styleId="FollowedHyperlink">
    <w:name w:val="FollowedHyperlink"/>
    <w:basedOn w:val="DefaultParagraphFont"/>
    <w:uiPriority w:val="99"/>
    <w:semiHidden/>
    <w:unhideWhenUsed/>
    <w:rsid w:val="00B04A11"/>
    <w:rPr>
      <w:color w:val="954F72" w:themeColor="followedHyperlink"/>
      <w:u w:val="single"/>
    </w:rPr>
  </w:style>
  <w:style w:type="paragraph" w:customStyle="1" w:styleId="1JudulPenelitian">
    <w:name w:val="1. Judul Penelitian"/>
    <w:basedOn w:val="Normal"/>
    <w:autoRedefine/>
    <w:qFormat/>
    <w:rsid w:val="00596C0F"/>
    <w:pPr>
      <w:spacing w:after="240"/>
    </w:pPr>
    <w:rPr>
      <w:rFonts w:ascii="Cambria" w:hAnsi="Cambria"/>
      <w:b/>
      <w:bCs/>
      <w:color w:val="002060"/>
      <w:sz w:val="32"/>
      <w:szCs w:val="32"/>
    </w:rPr>
  </w:style>
  <w:style w:type="paragraph" w:customStyle="1" w:styleId="2Penulis">
    <w:name w:val="2. Penulis"/>
    <w:basedOn w:val="Normal"/>
    <w:autoRedefine/>
    <w:qFormat/>
    <w:rsid w:val="00E67695"/>
    <w:pPr>
      <w:spacing w:before="240"/>
      <w:ind w:left="10" w:right="-15"/>
    </w:pPr>
    <w:rPr>
      <w:rFonts w:ascii="Cambria" w:hAnsi="Cambria"/>
      <w:b/>
      <w:bCs/>
      <w:color w:val="000000" w:themeColor="text1"/>
      <w:sz w:val="22"/>
      <w:szCs w:val="22"/>
      <w:lang w:val="en-US"/>
    </w:rPr>
  </w:style>
  <w:style w:type="paragraph" w:customStyle="1" w:styleId="3AfiliasiPenulis">
    <w:name w:val="3. Afiliasi Penulis"/>
    <w:basedOn w:val="Normal"/>
    <w:autoRedefine/>
    <w:qFormat/>
    <w:rsid w:val="002138A1"/>
    <w:pPr>
      <w:ind w:left="10" w:right="-15"/>
    </w:pPr>
    <w:rPr>
      <w:rFonts w:ascii="Cambria" w:hAnsi="Cambria"/>
      <w:iCs/>
      <w:color w:val="000000" w:themeColor="text1"/>
      <w:sz w:val="20"/>
      <w:szCs w:val="20"/>
      <w:lang w:val="en-US"/>
    </w:rPr>
  </w:style>
  <w:style w:type="paragraph" w:customStyle="1" w:styleId="6BABArtikel">
    <w:name w:val="6. BAB Artikel"/>
    <w:basedOn w:val="ListParagraph"/>
    <w:autoRedefine/>
    <w:qFormat/>
    <w:rsid w:val="00DB420C"/>
    <w:pPr>
      <w:spacing w:before="240"/>
      <w:ind w:left="360" w:hanging="360"/>
    </w:pPr>
    <w:rPr>
      <w:rFonts w:ascii="Cambria" w:hAnsi="Cambria"/>
      <w:b/>
      <w:bCs/>
      <w:color w:val="002060"/>
      <w:sz w:val="22"/>
      <w:szCs w:val="22"/>
    </w:rPr>
  </w:style>
  <w:style w:type="paragraph" w:customStyle="1" w:styleId="7SUBBAB1">
    <w:name w:val="7. SUB BAB 1"/>
    <w:basedOn w:val="ListParagraph"/>
    <w:autoRedefine/>
    <w:qFormat/>
    <w:rsid w:val="00DB420C"/>
    <w:pPr>
      <w:numPr>
        <w:numId w:val="5"/>
      </w:numPr>
      <w:spacing w:before="240" w:line="276" w:lineRule="auto"/>
      <w:ind w:left="426" w:hanging="426"/>
      <w:jc w:val="both"/>
    </w:pPr>
    <w:rPr>
      <w:rFonts w:ascii="Cambria" w:hAnsi="Cambria"/>
      <w:b/>
      <w:bCs/>
      <w:color w:val="002060"/>
      <w:sz w:val="22"/>
      <w:szCs w:val="22"/>
    </w:rPr>
  </w:style>
  <w:style w:type="numbering" w:customStyle="1" w:styleId="CurrentList1">
    <w:name w:val="Current List1"/>
    <w:uiPriority w:val="99"/>
    <w:rsid w:val="00A761F3"/>
    <w:pPr>
      <w:numPr>
        <w:numId w:val="4"/>
      </w:numPr>
    </w:pPr>
  </w:style>
  <w:style w:type="paragraph" w:customStyle="1" w:styleId="8SUBBAB2">
    <w:name w:val="8. SUB BAB 2"/>
    <w:basedOn w:val="ListParagraph"/>
    <w:qFormat/>
    <w:rsid w:val="00DB420C"/>
    <w:pPr>
      <w:numPr>
        <w:numId w:val="7"/>
      </w:numPr>
      <w:spacing w:before="240" w:line="276" w:lineRule="auto"/>
      <w:ind w:left="426" w:hanging="426"/>
      <w:jc w:val="both"/>
    </w:pPr>
    <w:rPr>
      <w:rFonts w:ascii="Cambria" w:hAnsi="Cambria"/>
      <w:color w:val="002060"/>
      <w:sz w:val="22"/>
      <w:szCs w:val="22"/>
    </w:rPr>
  </w:style>
  <w:style w:type="numbering" w:customStyle="1" w:styleId="CurrentList2">
    <w:name w:val="Current List2"/>
    <w:uiPriority w:val="99"/>
    <w:rsid w:val="00A761F3"/>
    <w:pPr>
      <w:numPr>
        <w:numId w:val="6"/>
      </w:numPr>
    </w:pPr>
  </w:style>
  <w:style w:type="paragraph" w:customStyle="1" w:styleId="9SUBBAB3">
    <w:name w:val="9. SUB BAB 3"/>
    <w:basedOn w:val="ListParagraph"/>
    <w:qFormat/>
    <w:rsid w:val="00DB420C"/>
    <w:pPr>
      <w:numPr>
        <w:numId w:val="8"/>
      </w:numPr>
      <w:spacing w:before="240" w:line="276" w:lineRule="auto"/>
      <w:jc w:val="both"/>
    </w:pPr>
    <w:rPr>
      <w:rFonts w:ascii="Cambria" w:hAnsi="Cambria"/>
      <w:i/>
      <w:iCs/>
      <w:color w:val="002060"/>
      <w:sz w:val="22"/>
      <w:szCs w:val="22"/>
    </w:rPr>
  </w:style>
  <w:style w:type="paragraph" w:customStyle="1" w:styleId="91ParagrafPertama">
    <w:name w:val="9.1 Paragraf Pertama"/>
    <w:basedOn w:val="Normal"/>
    <w:qFormat/>
    <w:rsid w:val="008F4D27"/>
    <w:pPr>
      <w:spacing w:line="276" w:lineRule="auto"/>
      <w:jc w:val="both"/>
    </w:pPr>
    <w:rPr>
      <w:rFonts w:ascii="Cambria" w:hAnsi="Cambria"/>
      <w:color w:val="000000" w:themeColor="text1"/>
      <w:sz w:val="22"/>
      <w:szCs w:val="22"/>
    </w:rPr>
  </w:style>
  <w:style w:type="numbering" w:customStyle="1" w:styleId="CurrentList3">
    <w:name w:val="Current List3"/>
    <w:uiPriority w:val="99"/>
    <w:rsid w:val="00A761F3"/>
    <w:pPr>
      <w:numPr>
        <w:numId w:val="9"/>
      </w:numPr>
    </w:pPr>
  </w:style>
  <w:style w:type="paragraph" w:customStyle="1" w:styleId="92ParagrafKedua">
    <w:name w:val="9.2 Paragraf Kedua"/>
    <w:basedOn w:val="Normal"/>
    <w:qFormat/>
    <w:rsid w:val="008F4D27"/>
    <w:pPr>
      <w:spacing w:line="276" w:lineRule="auto"/>
      <w:ind w:firstLine="567"/>
      <w:jc w:val="both"/>
    </w:pPr>
    <w:rPr>
      <w:rFonts w:ascii="Cambria" w:hAnsi="Cambria"/>
      <w:color w:val="000000" w:themeColor="text1"/>
      <w:sz w:val="22"/>
      <w:szCs w:val="22"/>
    </w:rPr>
  </w:style>
  <w:style w:type="paragraph" w:customStyle="1" w:styleId="4EmailPenulis">
    <w:name w:val="4. Email Penulis"/>
    <w:basedOn w:val="Normal"/>
    <w:autoRedefine/>
    <w:qFormat/>
    <w:rsid w:val="007C63D9"/>
    <w:pPr>
      <w:spacing w:after="200"/>
      <w:ind w:left="11" w:right="-17" w:hanging="11"/>
    </w:pPr>
    <w:rPr>
      <w:rFonts w:ascii="Cambria" w:hAnsi="Cambria"/>
      <w:iCs/>
      <w:color w:val="000000" w:themeColor="text1"/>
      <w:sz w:val="20"/>
      <w:szCs w:val="20"/>
      <w:lang w:val="en-US"/>
    </w:rPr>
  </w:style>
  <w:style w:type="paragraph" w:styleId="BodyTextIndent3">
    <w:name w:val="Body Text Indent 3"/>
    <w:basedOn w:val="Normal"/>
    <w:link w:val="BodyTextIndent3Char"/>
    <w:uiPriority w:val="99"/>
    <w:unhideWhenUsed/>
    <w:rsid w:val="005C7B28"/>
    <w:pPr>
      <w:spacing w:after="120"/>
      <w:ind w:left="283"/>
    </w:pPr>
    <w:rPr>
      <w:sz w:val="16"/>
      <w:szCs w:val="16"/>
    </w:rPr>
  </w:style>
  <w:style w:type="character" w:customStyle="1" w:styleId="BodyTextIndent3Char">
    <w:name w:val="Body Text Indent 3 Char"/>
    <w:basedOn w:val="DefaultParagraphFont"/>
    <w:link w:val="BodyTextIndent3"/>
    <w:uiPriority w:val="99"/>
    <w:rsid w:val="005C7B28"/>
    <w:rPr>
      <w:sz w:val="16"/>
      <w:szCs w:val="16"/>
    </w:rPr>
  </w:style>
  <w:style w:type="paragraph" w:customStyle="1" w:styleId="96PenulisanSitasiPenelitianini">
    <w:name w:val="9.6 Penulisan Sitasi Penelitian ini"/>
    <w:basedOn w:val="Footer"/>
    <w:autoRedefine/>
    <w:qFormat/>
    <w:rsid w:val="007F2D42"/>
    <w:pPr>
      <w:spacing w:before="40" w:after="120"/>
      <w:ind w:left="45"/>
      <w:jc w:val="both"/>
    </w:pPr>
    <w:rPr>
      <w:rFonts w:ascii="Cambria" w:eastAsia="Times New Roman" w:hAnsi="Cambria" w:cs="Times New Roman"/>
      <w:color w:val="000000" w:themeColor="text1"/>
      <w:sz w:val="20"/>
      <w:szCs w:val="20"/>
    </w:rPr>
  </w:style>
  <w:style w:type="paragraph" w:customStyle="1" w:styleId="5Keyword">
    <w:name w:val="5. Keyword"/>
    <w:basedOn w:val="Normal"/>
    <w:autoRedefine/>
    <w:qFormat/>
    <w:rsid w:val="00187667"/>
    <w:pPr>
      <w:spacing w:after="120"/>
      <w:ind w:right="34"/>
    </w:pPr>
    <w:rPr>
      <w:rFonts w:ascii="Cambria" w:hAnsi="Cambria" w:cs="Arial Hebrew"/>
      <w:sz w:val="20"/>
      <w:szCs w:val="20"/>
    </w:rPr>
  </w:style>
  <w:style w:type="paragraph" w:customStyle="1" w:styleId="93PenamaanGambar">
    <w:name w:val="9.3 Penamaan Gambar"/>
    <w:basedOn w:val="Normal"/>
    <w:autoRedefine/>
    <w:qFormat/>
    <w:rsid w:val="00775620"/>
    <w:pPr>
      <w:spacing w:after="100" w:afterAutospacing="1"/>
      <w:jc w:val="center"/>
    </w:pPr>
    <w:rPr>
      <w:rFonts w:ascii="Cambria" w:hAnsi="Cambria"/>
      <w:bCs/>
      <w:color w:val="000000" w:themeColor="text1"/>
      <w:sz w:val="22"/>
      <w:szCs w:val="22"/>
    </w:rPr>
  </w:style>
  <w:style w:type="paragraph" w:customStyle="1" w:styleId="97Referensi">
    <w:name w:val="9.7 Referensi"/>
    <w:basedOn w:val="Normal"/>
    <w:autoRedefine/>
    <w:qFormat/>
    <w:rsid w:val="00914EC9"/>
    <w:pPr>
      <w:spacing w:after="200"/>
      <w:ind w:left="567" w:hanging="567"/>
      <w:jc w:val="both"/>
    </w:pPr>
    <w:rPr>
      <w:rFonts w:ascii="Cambria" w:hAnsi="Cambria"/>
      <w:color w:val="000000" w:themeColor="text1"/>
      <w:sz w:val="22"/>
      <w:szCs w:val="22"/>
    </w:rPr>
  </w:style>
  <w:style w:type="paragraph" w:customStyle="1" w:styleId="94PenamaanTabel">
    <w:name w:val="9.4 Penamaan Tabel"/>
    <w:basedOn w:val="93PenamaanGambar"/>
    <w:qFormat/>
    <w:rsid w:val="00775620"/>
    <w:pPr>
      <w:spacing w:before="240" w:after="0" w:afterAutospacing="0"/>
    </w:pPr>
  </w:style>
  <w:style w:type="paragraph" w:customStyle="1" w:styleId="95Transkrip">
    <w:name w:val="9.5 Transkrip"/>
    <w:basedOn w:val="Normal"/>
    <w:autoRedefine/>
    <w:qFormat/>
    <w:rsid w:val="00FA12D9"/>
    <w:pPr>
      <w:ind w:left="567" w:right="700"/>
      <w:jc w:val="both"/>
    </w:pPr>
    <w:rPr>
      <w:rFonts w:ascii="Cambria" w:eastAsia="Cambria" w:hAnsi="Cambria" w:cs="Cambria"/>
      <w:iCs/>
      <w:sz w:val="22"/>
      <w:szCs w:val="22"/>
    </w:rPr>
  </w:style>
  <w:style w:type="paragraph" w:customStyle="1" w:styleId="Author">
    <w:name w:val="Author"/>
    <w:basedOn w:val="Normal"/>
    <w:qFormat/>
    <w:rsid w:val="00524FF8"/>
    <w:pPr>
      <w:spacing w:before="240"/>
      <w:ind w:left="10" w:right="-15"/>
    </w:pPr>
    <w:rPr>
      <w:rFonts w:ascii="Cambria" w:hAnsi="Cambria"/>
      <w:b/>
      <w:bCs/>
      <w:sz w:val="22"/>
      <w:szCs w:val="22"/>
      <w:lang w:val="en-US"/>
    </w:rPr>
  </w:style>
  <w:style w:type="paragraph" w:customStyle="1" w:styleId="41Abstrak">
    <w:name w:val="4.1 Abstrak"/>
    <w:basedOn w:val="Normal"/>
    <w:qFormat/>
    <w:rsid w:val="009B0E37"/>
    <w:pPr>
      <w:spacing w:before="40" w:after="120"/>
      <w:ind w:firstLine="6"/>
      <w:jc w:val="both"/>
    </w:pPr>
    <w:rPr>
      <w:rFonts w:ascii="Cambria" w:hAnsi="Cambria" w:cs="Arial Hebrew"/>
      <w:sz w:val="20"/>
      <w:szCs w:val="20"/>
    </w:rPr>
  </w:style>
  <w:style w:type="character" w:styleId="CommentReference">
    <w:name w:val="annotation reference"/>
    <w:basedOn w:val="DefaultParagraphFont"/>
    <w:uiPriority w:val="99"/>
    <w:semiHidden/>
    <w:unhideWhenUsed/>
    <w:rsid w:val="00912873"/>
    <w:rPr>
      <w:sz w:val="16"/>
      <w:szCs w:val="16"/>
    </w:rPr>
  </w:style>
  <w:style w:type="paragraph" w:styleId="CommentText">
    <w:name w:val="annotation text"/>
    <w:basedOn w:val="Normal"/>
    <w:link w:val="CommentTextChar"/>
    <w:uiPriority w:val="99"/>
    <w:semiHidden/>
    <w:unhideWhenUsed/>
    <w:rsid w:val="00912873"/>
    <w:rPr>
      <w:sz w:val="20"/>
      <w:szCs w:val="20"/>
    </w:rPr>
  </w:style>
  <w:style w:type="character" w:customStyle="1" w:styleId="CommentTextChar">
    <w:name w:val="Comment Text Char"/>
    <w:basedOn w:val="DefaultParagraphFont"/>
    <w:link w:val="CommentText"/>
    <w:uiPriority w:val="99"/>
    <w:semiHidden/>
    <w:rsid w:val="00912873"/>
    <w:rPr>
      <w:sz w:val="20"/>
      <w:szCs w:val="20"/>
    </w:rPr>
  </w:style>
  <w:style w:type="paragraph" w:styleId="CommentSubject">
    <w:name w:val="annotation subject"/>
    <w:basedOn w:val="CommentText"/>
    <w:next w:val="CommentText"/>
    <w:link w:val="CommentSubjectChar"/>
    <w:uiPriority w:val="99"/>
    <w:semiHidden/>
    <w:unhideWhenUsed/>
    <w:rsid w:val="00912873"/>
    <w:rPr>
      <w:b/>
      <w:bCs/>
    </w:rPr>
  </w:style>
  <w:style w:type="character" w:customStyle="1" w:styleId="CommentSubjectChar">
    <w:name w:val="Comment Subject Char"/>
    <w:basedOn w:val="CommentTextChar"/>
    <w:link w:val="CommentSubject"/>
    <w:uiPriority w:val="99"/>
    <w:semiHidden/>
    <w:rsid w:val="00912873"/>
    <w:rPr>
      <w:b/>
      <w:bCs/>
      <w:sz w:val="20"/>
      <w:szCs w:val="20"/>
    </w:rPr>
  </w:style>
  <w:style w:type="paragraph" w:styleId="BalloonText">
    <w:name w:val="Balloon Text"/>
    <w:basedOn w:val="Normal"/>
    <w:link w:val="BalloonTextChar"/>
    <w:uiPriority w:val="99"/>
    <w:semiHidden/>
    <w:unhideWhenUsed/>
    <w:rsid w:val="00213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8A1"/>
    <w:rPr>
      <w:rFonts w:ascii="Segoe UI" w:hAnsi="Segoe UI" w:cs="Segoe UI"/>
      <w:sz w:val="18"/>
      <w:szCs w:val="18"/>
    </w:rPr>
  </w:style>
  <w:style w:type="table" w:customStyle="1" w:styleId="TableGrid1">
    <w:name w:val="Table Grid1"/>
    <w:basedOn w:val="TableNormal"/>
    <w:next w:val="TableGrid"/>
    <w:uiPriority w:val="59"/>
    <w:rsid w:val="00894711"/>
    <w:rPr>
      <w:rFonts w:ascii="Arial Hebrew" w:hAnsi="Arial Hebrew" w:cs="Arial Hebrew"/>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4711"/>
    <w:rPr>
      <w:rFonts w:ascii="Arial Hebrew" w:hAnsi="Arial Hebrew" w:cs="Arial Hebrew"/>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338">
      <w:bodyDiv w:val="1"/>
      <w:marLeft w:val="0"/>
      <w:marRight w:val="0"/>
      <w:marTop w:val="0"/>
      <w:marBottom w:val="0"/>
      <w:divBdr>
        <w:top w:val="none" w:sz="0" w:space="0" w:color="auto"/>
        <w:left w:val="none" w:sz="0" w:space="0" w:color="auto"/>
        <w:bottom w:val="none" w:sz="0" w:space="0" w:color="auto"/>
        <w:right w:val="none" w:sz="0" w:space="0" w:color="auto"/>
      </w:divBdr>
      <w:divsChild>
        <w:div w:id="1210148161">
          <w:marLeft w:val="0"/>
          <w:marRight w:val="0"/>
          <w:marTop w:val="0"/>
          <w:marBottom w:val="0"/>
          <w:divBdr>
            <w:top w:val="none" w:sz="0" w:space="0" w:color="auto"/>
            <w:left w:val="none" w:sz="0" w:space="0" w:color="auto"/>
            <w:bottom w:val="none" w:sz="0" w:space="0" w:color="auto"/>
            <w:right w:val="none" w:sz="0" w:space="0" w:color="auto"/>
          </w:divBdr>
          <w:divsChild>
            <w:div w:id="1666666907">
              <w:marLeft w:val="0"/>
              <w:marRight w:val="0"/>
              <w:marTop w:val="0"/>
              <w:marBottom w:val="0"/>
              <w:divBdr>
                <w:top w:val="none" w:sz="0" w:space="0" w:color="auto"/>
                <w:left w:val="none" w:sz="0" w:space="0" w:color="auto"/>
                <w:bottom w:val="none" w:sz="0" w:space="0" w:color="auto"/>
                <w:right w:val="none" w:sz="0" w:space="0" w:color="auto"/>
              </w:divBdr>
              <w:divsChild>
                <w:div w:id="18184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2642">
      <w:bodyDiv w:val="1"/>
      <w:marLeft w:val="0"/>
      <w:marRight w:val="0"/>
      <w:marTop w:val="0"/>
      <w:marBottom w:val="0"/>
      <w:divBdr>
        <w:top w:val="none" w:sz="0" w:space="0" w:color="auto"/>
        <w:left w:val="none" w:sz="0" w:space="0" w:color="auto"/>
        <w:bottom w:val="none" w:sz="0" w:space="0" w:color="auto"/>
        <w:right w:val="none" w:sz="0" w:space="0" w:color="auto"/>
      </w:divBdr>
      <w:divsChild>
        <w:div w:id="1278952380">
          <w:marLeft w:val="0"/>
          <w:marRight w:val="0"/>
          <w:marTop w:val="0"/>
          <w:marBottom w:val="0"/>
          <w:divBdr>
            <w:top w:val="none" w:sz="0" w:space="0" w:color="auto"/>
            <w:left w:val="none" w:sz="0" w:space="0" w:color="auto"/>
            <w:bottom w:val="none" w:sz="0" w:space="0" w:color="auto"/>
            <w:right w:val="none" w:sz="0" w:space="0" w:color="auto"/>
          </w:divBdr>
          <w:divsChild>
            <w:div w:id="1660647157">
              <w:marLeft w:val="0"/>
              <w:marRight w:val="0"/>
              <w:marTop w:val="0"/>
              <w:marBottom w:val="0"/>
              <w:divBdr>
                <w:top w:val="none" w:sz="0" w:space="0" w:color="auto"/>
                <w:left w:val="none" w:sz="0" w:space="0" w:color="auto"/>
                <w:bottom w:val="none" w:sz="0" w:space="0" w:color="auto"/>
                <w:right w:val="none" w:sz="0" w:space="0" w:color="auto"/>
              </w:divBdr>
              <w:divsChild>
                <w:div w:id="4916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2652">
      <w:bodyDiv w:val="1"/>
      <w:marLeft w:val="0"/>
      <w:marRight w:val="0"/>
      <w:marTop w:val="0"/>
      <w:marBottom w:val="0"/>
      <w:divBdr>
        <w:top w:val="none" w:sz="0" w:space="0" w:color="auto"/>
        <w:left w:val="none" w:sz="0" w:space="0" w:color="auto"/>
        <w:bottom w:val="none" w:sz="0" w:space="0" w:color="auto"/>
        <w:right w:val="none" w:sz="0" w:space="0" w:color="auto"/>
      </w:divBdr>
      <w:divsChild>
        <w:div w:id="356396746">
          <w:marLeft w:val="0"/>
          <w:marRight w:val="0"/>
          <w:marTop w:val="0"/>
          <w:marBottom w:val="0"/>
          <w:divBdr>
            <w:top w:val="none" w:sz="0" w:space="0" w:color="auto"/>
            <w:left w:val="none" w:sz="0" w:space="0" w:color="auto"/>
            <w:bottom w:val="none" w:sz="0" w:space="0" w:color="auto"/>
            <w:right w:val="none" w:sz="0" w:space="0" w:color="auto"/>
          </w:divBdr>
          <w:divsChild>
            <w:div w:id="1058672935">
              <w:marLeft w:val="0"/>
              <w:marRight w:val="0"/>
              <w:marTop w:val="0"/>
              <w:marBottom w:val="0"/>
              <w:divBdr>
                <w:top w:val="none" w:sz="0" w:space="0" w:color="auto"/>
                <w:left w:val="none" w:sz="0" w:space="0" w:color="auto"/>
                <w:bottom w:val="none" w:sz="0" w:space="0" w:color="auto"/>
                <w:right w:val="none" w:sz="0" w:space="0" w:color="auto"/>
              </w:divBdr>
              <w:divsChild>
                <w:div w:id="616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40062">
      <w:bodyDiv w:val="1"/>
      <w:marLeft w:val="0"/>
      <w:marRight w:val="0"/>
      <w:marTop w:val="0"/>
      <w:marBottom w:val="0"/>
      <w:divBdr>
        <w:top w:val="none" w:sz="0" w:space="0" w:color="auto"/>
        <w:left w:val="none" w:sz="0" w:space="0" w:color="auto"/>
        <w:bottom w:val="none" w:sz="0" w:space="0" w:color="auto"/>
        <w:right w:val="none" w:sz="0" w:space="0" w:color="auto"/>
      </w:divBdr>
      <w:divsChild>
        <w:div w:id="1731152555">
          <w:marLeft w:val="0"/>
          <w:marRight w:val="0"/>
          <w:marTop w:val="0"/>
          <w:marBottom w:val="0"/>
          <w:divBdr>
            <w:top w:val="none" w:sz="0" w:space="0" w:color="auto"/>
            <w:left w:val="none" w:sz="0" w:space="0" w:color="auto"/>
            <w:bottom w:val="none" w:sz="0" w:space="0" w:color="auto"/>
            <w:right w:val="none" w:sz="0" w:space="0" w:color="auto"/>
          </w:divBdr>
          <w:divsChild>
            <w:div w:id="525683049">
              <w:marLeft w:val="0"/>
              <w:marRight w:val="0"/>
              <w:marTop w:val="0"/>
              <w:marBottom w:val="0"/>
              <w:divBdr>
                <w:top w:val="none" w:sz="0" w:space="0" w:color="auto"/>
                <w:left w:val="none" w:sz="0" w:space="0" w:color="auto"/>
                <w:bottom w:val="none" w:sz="0" w:space="0" w:color="auto"/>
                <w:right w:val="none" w:sz="0" w:space="0" w:color="auto"/>
              </w:divBdr>
              <w:divsChild>
                <w:div w:id="16544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5242">
      <w:bodyDiv w:val="1"/>
      <w:marLeft w:val="0"/>
      <w:marRight w:val="0"/>
      <w:marTop w:val="0"/>
      <w:marBottom w:val="0"/>
      <w:divBdr>
        <w:top w:val="none" w:sz="0" w:space="0" w:color="auto"/>
        <w:left w:val="none" w:sz="0" w:space="0" w:color="auto"/>
        <w:bottom w:val="none" w:sz="0" w:space="0" w:color="auto"/>
        <w:right w:val="none" w:sz="0" w:space="0" w:color="auto"/>
      </w:divBdr>
      <w:divsChild>
        <w:div w:id="1220629938">
          <w:marLeft w:val="0"/>
          <w:marRight w:val="0"/>
          <w:marTop w:val="0"/>
          <w:marBottom w:val="0"/>
          <w:divBdr>
            <w:top w:val="none" w:sz="0" w:space="0" w:color="auto"/>
            <w:left w:val="none" w:sz="0" w:space="0" w:color="auto"/>
            <w:bottom w:val="none" w:sz="0" w:space="0" w:color="auto"/>
            <w:right w:val="none" w:sz="0" w:space="0" w:color="auto"/>
          </w:divBdr>
          <w:divsChild>
            <w:div w:id="1692561684">
              <w:marLeft w:val="0"/>
              <w:marRight w:val="0"/>
              <w:marTop w:val="0"/>
              <w:marBottom w:val="0"/>
              <w:divBdr>
                <w:top w:val="none" w:sz="0" w:space="0" w:color="auto"/>
                <w:left w:val="none" w:sz="0" w:space="0" w:color="auto"/>
                <w:bottom w:val="none" w:sz="0" w:space="0" w:color="auto"/>
                <w:right w:val="none" w:sz="0" w:space="0" w:color="auto"/>
              </w:divBdr>
              <w:divsChild>
                <w:div w:id="15343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3803">
      <w:bodyDiv w:val="1"/>
      <w:marLeft w:val="0"/>
      <w:marRight w:val="0"/>
      <w:marTop w:val="0"/>
      <w:marBottom w:val="0"/>
      <w:divBdr>
        <w:top w:val="none" w:sz="0" w:space="0" w:color="auto"/>
        <w:left w:val="none" w:sz="0" w:space="0" w:color="auto"/>
        <w:bottom w:val="none" w:sz="0" w:space="0" w:color="auto"/>
        <w:right w:val="none" w:sz="0" w:space="0" w:color="auto"/>
      </w:divBdr>
    </w:div>
    <w:div w:id="1960988923">
      <w:bodyDiv w:val="1"/>
      <w:marLeft w:val="0"/>
      <w:marRight w:val="0"/>
      <w:marTop w:val="0"/>
      <w:marBottom w:val="0"/>
      <w:divBdr>
        <w:top w:val="none" w:sz="0" w:space="0" w:color="auto"/>
        <w:left w:val="none" w:sz="0" w:space="0" w:color="auto"/>
        <w:bottom w:val="none" w:sz="0" w:space="0" w:color="auto"/>
        <w:right w:val="none" w:sz="0" w:space="0" w:color="auto"/>
      </w:divBdr>
      <w:divsChild>
        <w:div w:id="1577670335">
          <w:marLeft w:val="0"/>
          <w:marRight w:val="0"/>
          <w:marTop w:val="0"/>
          <w:marBottom w:val="0"/>
          <w:divBdr>
            <w:top w:val="none" w:sz="0" w:space="0" w:color="auto"/>
            <w:left w:val="none" w:sz="0" w:space="0" w:color="auto"/>
            <w:bottom w:val="none" w:sz="0" w:space="0" w:color="auto"/>
            <w:right w:val="none" w:sz="0" w:space="0" w:color="auto"/>
          </w:divBdr>
          <w:divsChild>
            <w:div w:id="1151561625">
              <w:marLeft w:val="0"/>
              <w:marRight w:val="0"/>
              <w:marTop w:val="0"/>
              <w:marBottom w:val="0"/>
              <w:divBdr>
                <w:top w:val="none" w:sz="0" w:space="0" w:color="auto"/>
                <w:left w:val="none" w:sz="0" w:space="0" w:color="auto"/>
                <w:bottom w:val="none" w:sz="0" w:space="0" w:color="auto"/>
                <w:right w:val="none" w:sz="0" w:space="0" w:color="auto"/>
              </w:divBdr>
              <w:divsChild>
                <w:div w:id="2057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9781119705116.ch14" TargetMode="External"/><Relationship Id="rId13" Type="http://schemas.openxmlformats.org/officeDocument/2006/relationships/hyperlink" Target="https://journal.unnes.ac.id/sju/index.php/ujmer/article/view/27716" TargetMode="External"/><Relationship Id="rId18" Type="http://schemas.openxmlformats.org/officeDocument/2006/relationships/hyperlink" Target="https://digitalcommons.lsu.edu/gradschool_theses/16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07/s11145-022-10359-2" TargetMode="External"/><Relationship Id="rId17" Type="http://schemas.openxmlformats.org/officeDocument/2006/relationships/hyperlink" Target="https://doi.org/10.35445/alishlah.v14i2.124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47766/jetlee.v3i2.144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246/j.js.2020.v10.i2.p162-17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epository.unmuhjember.ac.id/1671/" TargetMode="External"/><Relationship Id="rId23" Type="http://schemas.openxmlformats.org/officeDocument/2006/relationships/header" Target="header3.xml"/><Relationship Id="rId10" Type="http://schemas.openxmlformats.org/officeDocument/2006/relationships/hyperlink" Target="https://doi.org/10.47766/jetlee.v3i2.12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x.doi.org/10.4304/tpls.2.6.1134-1140" TargetMode="External"/><Relationship Id="rId14" Type="http://schemas.openxmlformats.org/officeDocument/2006/relationships/hyperlink" Target="https://doi.org/10.1111/1467-9817.12347"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creativecommons.org/licenses/by-sa/4.0/" TargetMode="External"/><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4C80-02A5-4505-AF4E-E26C0380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2022-12-11T10:14:00Z</cp:lastPrinted>
  <dcterms:created xsi:type="dcterms:W3CDTF">2024-05-31T23:54:00Z</dcterms:created>
  <dcterms:modified xsi:type="dcterms:W3CDTF">2024-05-31T23:55:00Z</dcterms:modified>
</cp:coreProperties>
</file>